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6F9F" w14:textId="77777777" w:rsidR="00680CD2" w:rsidRPr="00371051" w:rsidRDefault="00C74822" w:rsidP="00371051">
      <w:pPr>
        <w:pStyle w:val="Heading1"/>
      </w:pPr>
      <w:r w:rsidRPr="00371051">
        <w:t xml:space="preserve">Course </w:t>
      </w:r>
      <w:r w:rsidR="00D355F8">
        <w:t>Number</w:t>
      </w:r>
    </w:p>
    <w:p w14:paraId="23B0F750" w14:textId="77777777" w:rsidR="00766A98" w:rsidRPr="00371051" w:rsidRDefault="00C74822" w:rsidP="00371051">
      <w:pPr>
        <w:pStyle w:val="Heading2"/>
      </w:pPr>
      <w:r w:rsidRPr="00371051">
        <w:t xml:space="preserve">Course </w:t>
      </w:r>
      <w:r w:rsidR="00D355F8">
        <w:t>Title</w:t>
      </w:r>
    </w:p>
    <w:p w14:paraId="570C75A7" w14:textId="496EDD0D" w:rsidR="00766A98" w:rsidRDefault="00766A98" w:rsidP="00FC40AD">
      <w:pPr>
        <w:spacing w:line="240" w:lineRule="auto"/>
      </w:pPr>
    </w:p>
    <w:p w14:paraId="3D2321B3" w14:textId="77777777" w:rsidR="00D47204" w:rsidRDefault="00D47204" w:rsidP="00FC40AD">
      <w:pPr>
        <w:spacing w:line="240" w:lineRule="auto"/>
      </w:pPr>
    </w:p>
    <w:p w14:paraId="140A6D59" w14:textId="77777777" w:rsidR="00784A20" w:rsidRDefault="00680CD2">
      <w:pPr>
        <w:pStyle w:val="Heading2"/>
      </w:pPr>
      <w:r>
        <w:t>Course Description</w:t>
      </w:r>
    </w:p>
    <w:p w14:paraId="156B70AC" w14:textId="77777777" w:rsidR="00134B88" w:rsidRPr="0017657E" w:rsidRDefault="00C74822" w:rsidP="001757C2">
      <w:pPr>
        <w:rPr>
          <w:rFonts w:cs="Arial"/>
        </w:rPr>
      </w:pPr>
      <w:r w:rsidRPr="0017657E">
        <w:rPr>
          <w:rFonts w:cs="Arial"/>
        </w:rPr>
        <w:t>Enter Course Description</w:t>
      </w:r>
      <w:r w:rsidR="004075D7" w:rsidRPr="0017657E">
        <w:rPr>
          <w:rFonts w:cs="Arial"/>
        </w:rPr>
        <w:t xml:space="preserve"> from catalog.</w:t>
      </w:r>
      <w:r w:rsidR="00134B88">
        <w:tab/>
      </w:r>
      <w:r w:rsidR="00134B88">
        <w:tab/>
      </w:r>
      <w:r w:rsidR="00134B88">
        <w:tab/>
      </w:r>
      <w:r w:rsidR="00134B88">
        <w:tab/>
      </w:r>
    </w:p>
    <w:p w14:paraId="55CE3340" w14:textId="07D0B20A" w:rsidR="00C74822" w:rsidRDefault="00C74822" w:rsidP="00C74822"/>
    <w:p w14:paraId="6C4ACD39" w14:textId="77777777" w:rsidR="00D47204" w:rsidRPr="00C74822" w:rsidRDefault="00D47204" w:rsidP="00C74822"/>
    <w:p w14:paraId="62910400" w14:textId="77777777" w:rsidR="00C74822" w:rsidRDefault="00C74822" w:rsidP="00371051">
      <w:pPr>
        <w:pStyle w:val="Heading2"/>
      </w:pPr>
      <w:r>
        <w:t>Course Prerequisites</w:t>
      </w:r>
    </w:p>
    <w:p w14:paraId="70536776" w14:textId="77777777" w:rsidR="004075D7" w:rsidRPr="0017657E" w:rsidRDefault="00C74822" w:rsidP="00C74822">
      <w:pPr>
        <w:pStyle w:val="BodyText"/>
        <w:jc w:val="left"/>
        <w:rPr>
          <w:rFonts w:ascii="Arial" w:hAnsi="Arial" w:cs="Arial"/>
          <w:sz w:val="20"/>
          <w:szCs w:val="20"/>
        </w:rPr>
      </w:pPr>
      <w:r w:rsidRPr="0017657E">
        <w:rPr>
          <w:rFonts w:ascii="Arial" w:hAnsi="Arial" w:cs="Arial"/>
          <w:sz w:val="20"/>
          <w:szCs w:val="20"/>
        </w:rPr>
        <w:t>Enter course prerequisites</w:t>
      </w:r>
    </w:p>
    <w:p w14:paraId="4AB5168C" w14:textId="0CAFE844" w:rsidR="004075D7" w:rsidRDefault="004075D7" w:rsidP="00C74822">
      <w:pPr>
        <w:pStyle w:val="BodyText"/>
        <w:jc w:val="left"/>
        <w:rPr>
          <w:rFonts w:ascii="Tahoma" w:hAnsi="Tahoma" w:cs="Tahoma"/>
          <w:sz w:val="20"/>
          <w:szCs w:val="20"/>
        </w:rPr>
      </w:pPr>
    </w:p>
    <w:p w14:paraId="536E2330" w14:textId="77777777" w:rsidR="00D47204" w:rsidRDefault="00D47204" w:rsidP="00C74822">
      <w:pPr>
        <w:pStyle w:val="BodyText"/>
        <w:jc w:val="left"/>
        <w:rPr>
          <w:rFonts w:ascii="Tahoma" w:hAnsi="Tahoma" w:cs="Tahoma"/>
          <w:sz w:val="20"/>
          <w:szCs w:val="20"/>
        </w:rPr>
      </w:pPr>
    </w:p>
    <w:p w14:paraId="202EDC4B" w14:textId="77777777" w:rsidR="00C74822" w:rsidRDefault="004075D7" w:rsidP="00371051">
      <w:pPr>
        <w:pStyle w:val="Heading2"/>
      </w:pPr>
      <w:r>
        <w:t>Required Materials</w:t>
      </w:r>
    </w:p>
    <w:p w14:paraId="40C5DE25" w14:textId="77777777" w:rsidR="00E502D8" w:rsidRDefault="004075D7" w:rsidP="00371051">
      <w:r>
        <w:t>Enter textbook, other resources here. Must include ISBN number.</w:t>
      </w:r>
    </w:p>
    <w:p w14:paraId="01E8146D" w14:textId="4348C1E7" w:rsidR="001757C2" w:rsidRDefault="001757C2" w:rsidP="00371051"/>
    <w:p w14:paraId="5943901C" w14:textId="77777777" w:rsidR="00D47204" w:rsidRDefault="00D47204" w:rsidP="00371051"/>
    <w:p w14:paraId="3F644B0D" w14:textId="77777777" w:rsidR="001757C2" w:rsidRPr="00F93BE5" w:rsidRDefault="001757C2" w:rsidP="001757C2">
      <w:pPr>
        <w:pStyle w:val="Heading2"/>
        <w:rPr>
          <w:sz w:val="18"/>
          <w:szCs w:val="18"/>
        </w:rPr>
      </w:pPr>
      <w:r w:rsidRPr="00F93BE5">
        <w:t>Accreditation</w:t>
      </w:r>
    </w:p>
    <w:p w14:paraId="05A00712" w14:textId="77777777" w:rsidR="006C38E7" w:rsidRPr="00E80BFB" w:rsidRDefault="006C38E7" w:rsidP="006C38E7">
      <w:pPr>
        <w:pStyle w:val="indent"/>
        <w:spacing w:line="240" w:lineRule="auto"/>
        <w:ind w:left="0"/>
        <w:rPr>
          <w:szCs w:val="20"/>
        </w:rPr>
      </w:pPr>
      <w:r w:rsidRPr="00E80BFB">
        <w:rPr>
          <w:szCs w:val="20"/>
        </w:rPr>
        <w:t>Southern Wesleyan University is accredited by the Commission on Colleges of the Southern Association of Colleges and Schools to award associate, baccalaureate, and masters degrees.  Contact the Commission on Colleges at 1866 Southern Lane, Decatur, GA  30033-4097 or call 404-679-4500 for questions about the accreditation of Southern Wesleyan University.</w:t>
      </w:r>
    </w:p>
    <w:p w14:paraId="673C03BF" w14:textId="77777777" w:rsidR="006C38E7" w:rsidRPr="00134B88" w:rsidRDefault="006C38E7" w:rsidP="006C38E7">
      <w:pPr>
        <w:pStyle w:val="indent"/>
        <w:spacing w:line="240" w:lineRule="auto"/>
        <w:ind w:left="0"/>
        <w:rPr>
          <w:szCs w:val="20"/>
        </w:rPr>
      </w:pPr>
      <w:r w:rsidRPr="00F70C33">
        <w:rPr>
          <w:b/>
          <w:noProof/>
          <w:sz w:val="8"/>
          <w:szCs w:val="8"/>
        </w:rPr>
        <w:drawing>
          <wp:anchor distT="0" distB="0" distL="114300" distR="114300" simplePos="0" relativeHeight="251659264" behindDoc="0" locked="0" layoutInCell="1" allowOverlap="1" wp14:anchorId="12AFBB67" wp14:editId="7AB50CA5">
            <wp:simplePos x="0" y="0"/>
            <wp:positionH relativeFrom="column">
              <wp:posOffset>0</wp:posOffset>
            </wp:positionH>
            <wp:positionV relativeFrom="paragraph">
              <wp:posOffset>3810</wp:posOffset>
            </wp:positionV>
            <wp:extent cx="1076325" cy="990600"/>
            <wp:effectExtent l="0" t="0" r="0" b="0"/>
            <wp:wrapSquare wrapText="bothSides"/>
            <wp:docPr id="1" name="Picture 1" descr="Accred_In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_Ins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anchor>
        </w:drawing>
      </w:r>
      <w:r w:rsidRPr="00E80BFB">
        <w:rPr>
          <w:szCs w:val="20"/>
        </w:rPr>
        <w:t>The teacher education programs at Southern Wesleyan University are accredited by the National Council for Accreditation of Teacher Education (NCATE), www.ncate.org.  This accreditation covers initial teacher preparation programs and advanced educator preparation programs at the main campus in Central and all other learning centers operated by SWU. The university’s teacher education programs are also approved by the South Carolina State Board of Education.</w:t>
      </w:r>
    </w:p>
    <w:p w14:paraId="046897CC" w14:textId="77777777" w:rsidR="006C38E7" w:rsidRPr="00371051" w:rsidRDefault="006C38E7" w:rsidP="006C38E7"/>
    <w:p w14:paraId="3B9425AE" w14:textId="482146D1" w:rsidR="00C74822" w:rsidRDefault="00C74822"/>
    <w:p w14:paraId="5E0DA59D" w14:textId="77777777" w:rsidR="00D47204" w:rsidRDefault="00D47204"/>
    <w:p w14:paraId="3D76635F" w14:textId="77777777" w:rsidR="004075D7" w:rsidRDefault="004075D7" w:rsidP="00371051">
      <w:pPr>
        <w:pStyle w:val="Heading2"/>
      </w:pPr>
      <w:r>
        <w:t>Program Learning Outcomes</w:t>
      </w:r>
    </w:p>
    <w:p w14:paraId="01CF0137" w14:textId="77777777" w:rsidR="00104034" w:rsidRDefault="00104034" w:rsidP="00104034">
      <w:r>
        <w:t>Enter program learning outcomes</w:t>
      </w:r>
    </w:p>
    <w:p w14:paraId="7D6E5C51" w14:textId="77777777" w:rsidR="00104034" w:rsidRPr="00104034" w:rsidRDefault="00104034" w:rsidP="00104034"/>
    <w:tbl>
      <w:tblPr>
        <w:tblStyle w:val="TableGrid"/>
        <w:tblW w:w="0" w:type="auto"/>
        <w:tblLook w:val="04A0" w:firstRow="1" w:lastRow="0" w:firstColumn="1" w:lastColumn="0" w:noHBand="0" w:noVBand="1"/>
      </w:tblPr>
      <w:tblGrid>
        <w:gridCol w:w="895"/>
        <w:gridCol w:w="9895"/>
      </w:tblGrid>
      <w:tr w:rsidR="00104034" w14:paraId="02A799B3" w14:textId="77777777" w:rsidTr="007A5BA1">
        <w:tc>
          <w:tcPr>
            <w:tcW w:w="895" w:type="dxa"/>
          </w:tcPr>
          <w:p w14:paraId="0DD87842" w14:textId="77777777" w:rsidR="00104034" w:rsidRPr="00ED1ABB" w:rsidRDefault="00104034" w:rsidP="007A5BA1">
            <w:pPr>
              <w:rPr>
                <w:b/>
                <w:sz w:val="20"/>
                <w:szCs w:val="20"/>
              </w:rPr>
            </w:pPr>
            <w:r w:rsidRPr="00ED1ABB">
              <w:rPr>
                <w:b/>
                <w:sz w:val="20"/>
                <w:szCs w:val="20"/>
              </w:rPr>
              <w:t>PLO#1</w:t>
            </w:r>
          </w:p>
        </w:tc>
        <w:tc>
          <w:tcPr>
            <w:tcW w:w="9895" w:type="dxa"/>
          </w:tcPr>
          <w:p w14:paraId="448A2483" w14:textId="77777777" w:rsidR="00104034" w:rsidRDefault="00104034" w:rsidP="007A5BA1"/>
        </w:tc>
      </w:tr>
      <w:tr w:rsidR="00104034" w14:paraId="6F01FB9A" w14:textId="77777777" w:rsidTr="007A5BA1">
        <w:tc>
          <w:tcPr>
            <w:tcW w:w="895" w:type="dxa"/>
          </w:tcPr>
          <w:p w14:paraId="72C00EEA" w14:textId="77777777" w:rsidR="00104034" w:rsidRPr="00ED1ABB" w:rsidRDefault="00104034" w:rsidP="007A5BA1">
            <w:pPr>
              <w:rPr>
                <w:b/>
                <w:sz w:val="20"/>
                <w:szCs w:val="20"/>
              </w:rPr>
            </w:pPr>
            <w:r w:rsidRPr="00ED1ABB">
              <w:rPr>
                <w:b/>
                <w:sz w:val="20"/>
                <w:szCs w:val="20"/>
              </w:rPr>
              <w:t>PLO#2</w:t>
            </w:r>
          </w:p>
        </w:tc>
        <w:tc>
          <w:tcPr>
            <w:tcW w:w="9895" w:type="dxa"/>
          </w:tcPr>
          <w:p w14:paraId="4D090B44" w14:textId="77777777" w:rsidR="00104034" w:rsidRDefault="00104034" w:rsidP="007A5BA1"/>
        </w:tc>
      </w:tr>
      <w:tr w:rsidR="00104034" w14:paraId="14CABD9A" w14:textId="77777777" w:rsidTr="007A5BA1">
        <w:tc>
          <w:tcPr>
            <w:tcW w:w="895" w:type="dxa"/>
          </w:tcPr>
          <w:p w14:paraId="3A1E4339" w14:textId="77777777" w:rsidR="00104034" w:rsidRPr="00ED1ABB" w:rsidRDefault="00104034" w:rsidP="007A5BA1">
            <w:pPr>
              <w:rPr>
                <w:b/>
                <w:sz w:val="20"/>
                <w:szCs w:val="20"/>
              </w:rPr>
            </w:pPr>
            <w:r w:rsidRPr="00ED1ABB">
              <w:rPr>
                <w:b/>
                <w:sz w:val="20"/>
                <w:szCs w:val="20"/>
              </w:rPr>
              <w:t>PLO#3</w:t>
            </w:r>
          </w:p>
        </w:tc>
        <w:tc>
          <w:tcPr>
            <w:tcW w:w="9895" w:type="dxa"/>
          </w:tcPr>
          <w:p w14:paraId="3605BA59" w14:textId="77777777" w:rsidR="00104034" w:rsidRDefault="00104034" w:rsidP="007A5BA1"/>
        </w:tc>
      </w:tr>
      <w:tr w:rsidR="00104034" w14:paraId="76EA4A16" w14:textId="77777777" w:rsidTr="007A5BA1">
        <w:tc>
          <w:tcPr>
            <w:tcW w:w="895" w:type="dxa"/>
          </w:tcPr>
          <w:p w14:paraId="40D88B8C" w14:textId="77777777" w:rsidR="00104034" w:rsidRPr="00ED1ABB" w:rsidRDefault="00104034" w:rsidP="007A5BA1">
            <w:pPr>
              <w:rPr>
                <w:b/>
                <w:sz w:val="20"/>
                <w:szCs w:val="20"/>
              </w:rPr>
            </w:pPr>
            <w:r w:rsidRPr="00ED1ABB">
              <w:rPr>
                <w:b/>
                <w:sz w:val="20"/>
                <w:szCs w:val="20"/>
              </w:rPr>
              <w:t>PLO#4</w:t>
            </w:r>
          </w:p>
        </w:tc>
        <w:tc>
          <w:tcPr>
            <w:tcW w:w="9895" w:type="dxa"/>
          </w:tcPr>
          <w:p w14:paraId="4E6E4217" w14:textId="77777777" w:rsidR="00104034" w:rsidRDefault="00104034" w:rsidP="007A5BA1"/>
        </w:tc>
      </w:tr>
      <w:tr w:rsidR="00104034" w14:paraId="0E53B4DE" w14:textId="77777777" w:rsidTr="007A5BA1">
        <w:tc>
          <w:tcPr>
            <w:tcW w:w="895" w:type="dxa"/>
          </w:tcPr>
          <w:p w14:paraId="1529371D" w14:textId="77777777" w:rsidR="00104034" w:rsidRPr="00ED1ABB" w:rsidRDefault="00104034" w:rsidP="007A5BA1">
            <w:pPr>
              <w:rPr>
                <w:b/>
                <w:sz w:val="20"/>
                <w:szCs w:val="20"/>
              </w:rPr>
            </w:pPr>
            <w:r w:rsidRPr="00ED1ABB">
              <w:rPr>
                <w:b/>
                <w:sz w:val="20"/>
                <w:szCs w:val="20"/>
              </w:rPr>
              <w:t>PLO#5</w:t>
            </w:r>
          </w:p>
        </w:tc>
        <w:tc>
          <w:tcPr>
            <w:tcW w:w="9895" w:type="dxa"/>
          </w:tcPr>
          <w:p w14:paraId="69341698" w14:textId="77777777" w:rsidR="00104034" w:rsidRDefault="00104034" w:rsidP="007A5BA1"/>
        </w:tc>
      </w:tr>
    </w:tbl>
    <w:p w14:paraId="3C4E4E7D" w14:textId="4C975E29" w:rsidR="004075D7" w:rsidRDefault="004075D7"/>
    <w:p w14:paraId="66043AD6" w14:textId="77777777" w:rsidR="00D47204" w:rsidRPr="004075D7" w:rsidRDefault="00D47204"/>
    <w:p w14:paraId="2325E0D6" w14:textId="77777777" w:rsidR="00442535" w:rsidRDefault="000F6834" w:rsidP="00371051">
      <w:pPr>
        <w:pStyle w:val="Heading2"/>
      </w:pPr>
      <w:r>
        <w:lastRenderedPageBreak/>
        <w:t>Course Learning Outcomes</w:t>
      </w:r>
    </w:p>
    <w:p w14:paraId="7F2F39E5" w14:textId="77777777" w:rsidR="00FC40AD" w:rsidRPr="006C5F1D" w:rsidRDefault="00C74822" w:rsidP="00C74822">
      <w:pPr>
        <w:pStyle w:val="BodyText"/>
        <w:jc w:val="left"/>
      </w:pPr>
      <w:r>
        <w:rPr>
          <w:rFonts w:ascii="Tahoma" w:hAnsi="Tahoma" w:cs="Tahoma"/>
          <w:sz w:val="20"/>
          <w:szCs w:val="20"/>
        </w:rPr>
        <w:t>Enter course learning outcomes</w:t>
      </w:r>
      <w:r w:rsidR="004075D7">
        <w:rPr>
          <w:rFonts w:ascii="Tahoma" w:hAnsi="Tahoma" w:cs="Tahoma"/>
          <w:sz w:val="20"/>
          <w:szCs w:val="20"/>
        </w:rPr>
        <w:t>, connect to program learning outcomes</w:t>
      </w:r>
    </w:p>
    <w:p w14:paraId="51CD0352" w14:textId="77777777" w:rsidR="006C5F1D" w:rsidRDefault="006C5F1D" w:rsidP="00FC40AD">
      <w:pPr>
        <w:spacing w:line="240" w:lineRule="auto"/>
        <w:rPr>
          <w:rFonts w:cs="Tahoma"/>
          <w:szCs w:val="20"/>
        </w:rPr>
      </w:pPr>
    </w:p>
    <w:tbl>
      <w:tblPr>
        <w:tblStyle w:val="TableGrid"/>
        <w:tblW w:w="0" w:type="auto"/>
        <w:tblLook w:val="04A0" w:firstRow="1" w:lastRow="0" w:firstColumn="1" w:lastColumn="0" w:noHBand="0" w:noVBand="1"/>
      </w:tblPr>
      <w:tblGrid>
        <w:gridCol w:w="895"/>
        <w:gridCol w:w="8190"/>
        <w:gridCol w:w="1705"/>
      </w:tblGrid>
      <w:tr w:rsidR="00104034" w14:paraId="72C03F0A" w14:textId="77777777" w:rsidTr="007A5BA1">
        <w:tc>
          <w:tcPr>
            <w:tcW w:w="9085" w:type="dxa"/>
            <w:gridSpan w:val="2"/>
            <w:shd w:val="clear" w:color="auto" w:fill="D9D9D9" w:themeFill="background1" w:themeFillShade="D9"/>
          </w:tcPr>
          <w:p w14:paraId="410547D1" w14:textId="77777777" w:rsidR="00104034" w:rsidRPr="00ED1ABB" w:rsidRDefault="00104034" w:rsidP="007A5BA1">
            <w:pPr>
              <w:pStyle w:val="BodyText"/>
              <w:jc w:val="left"/>
              <w:rPr>
                <w:rFonts w:ascii="Arial" w:eastAsia="Calibri" w:hAnsi="Arial"/>
                <w:b/>
                <w:sz w:val="20"/>
                <w:szCs w:val="20"/>
              </w:rPr>
            </w:pPr>
          </w:p>
        </w:tc>
        <w:tc>
          <w:tcPr>
            <w:tcW w:w="1705" w:type="dxa"/>
            <w:shd w:val="clear" w:color="auto" w:fill="D9D9D9" w:themeFill="background1" w:themeFillShade="D9"/>
          </w:tcPr>
          <w:p w14:paraId="02A0ED67" w14:textId="77777777" w:rsidR="00104034" w:rsidRPr="00ED1ABB" w:rsidRDefault="00104034" w:rsidP="007A5BA1">
            <w:pPr>
              <w:pStyle w:val="BodyText"/>
              <w:jc w:val="left"/>
              <w:rPr>
                <w:rFonts w:ascii="Arial" w:eastAsia="Calibri" w:hAnsi="Arial"/>
                <w:b/>
                <w:sz w:val="20"/>
                <w:szCs w:val="20"/>
              </w:rPr>
            </w:pPr>
            <w:r>
              <w:rPr>
                <w:rFonts w:ascii="Arial" w:eastAsia="Calibri" w:hAnsi="Arial"/>
                <w:b/>
                <w:sz w:val="20"/>
                <w:szCs w:val="20"/>
              </w:rPr>
              <w:t>Aligns with</w:t>
            </w:r>
          </w:p>
        </w:tc>
      </w:tr>
      <w:tr w:rsidR="00104034" w14:paraId="5199137A" w14:textId="77777777" w:rsidTr="007A5BA1">
        <w:tc>
          <w:tcPr>
            <w:tcW w:w="895" w:type="dxa"/>
          </w:tcPr>
          <w:p w14:paraId="543F4C6F" w14:textId="77777777" w:rsidR="00104034" w:rsidRPr="00ED1ABB" w:rsidRDefault="00104034" w:rsidP="007A5BA1">
            <w:pPr>
              <w:rPr>
                <w:b/>
                <w:sz w:val="20"/>
                <w:szCs w:val="20"/>
              </w:rPr>
            </w:pPr>
            <w:r w:rsidRPr="00ED1ABB">
              <w:rPr>
                <w:b/>
                <w:sz w:val="20"/>
                <w:szCs w:val="20"/>
              </w:rPr>
              <w:t>CLO#1</w:t>
            </w:r>
          </w:p>
        </w:tc>
        <w:tc>
          <w:tcPr>
            <w:tcW w:w="8190" w:type="dxa"/>
          </w:tcPr>
          <w:p w14:paraId="1B641B2A" w14:textId="77777777" w:rsidR="00104034" w:rsidRPr="00ED1ABB" w:rsidRDefault="00104034" w:rsidP="007A5BA1">
            <w:pPr>
              <w:pStyle w:val="BodyText"/>
              <w:jc w:val="left"/>
              <w:rPr>
                <w:rFonts w:ascii="Arial" w:eastAsia="Calibri" w:hAnsi="Arial"/>
                <w:b/>
                <w:sz w:val="20"/>
                <w:szCs w:val="20"/>
              </w:rPr>
            </w:pPr>
          </w:p>
        </w:tc>
        <w:tc>
          <w:tcPr>
            <w:tcW w:w="1705" w:type="dxa"/>
          </w:tcPr>
          <w:p w14:paraId="6A72CFC1" w14:textId="77777777" w:rsidR="00104034" w:rsidRPr="00ED1ABB" w:rsidRDefault="00104034" w:rsidP="007A5BA1">
            <w:pPr>
              <w:pStyle w:val="BodyText"/>
              <w:jc w:val="left"/>
              <w:rPr>
                <w:rFonts w:ascii="Arial" w:eastAsia="Calibri" w:hAnsi="Arial"/>
                <w:b/>
                <w:sz w:val="20"/>
                <w:szCs w:val="20"/>
              </w:rPr>
            </w:pPr>
            <w:r>
              <w:rPr>
                <w:rFonts w:ascii="Arial" w:eastAsia="Calibri" w:hAnsi="Arial"/>
                <w:b/>
                <w:sz w:val="20"/>
                <w:szCs w:val="20"/>
              </w:rPr>
              <w:t>PLO(s)#</w:t>
            </w:r>
          </w:p>
        </w:tc>
      </w:tr>
      <w:tr w:rsidR="00104034" w14:paraId="6D4E6A65" w14:textId="77777777" w:rsidTr="007A5BA1">
        <w:tc>
          <w:tcPr>
            <w:tcW w:w="895" w:type="dxa"/>
          </w:tcPr>
          <w:p w14:paraId="788D0C87" w14:textId="77777777" w:rsidR="00104034" w:rsidRPr="00ED1ABB" w:rsidRDefault="00104034" w:rsidP="007A5BA1">
            <w:pPr>
              <w:rPr>
                <w:b/>
                <w:sz w:val="20"/>
                <w:szCs w:val="20"/>
              </w:rPr>
            </w:pPr>
            <w:r>
              <w:rPr>
                <w:b/>
                <w:sz w:val="20"/>
                <w:szCs w:val="20"/>
              </w:rPr>
              <w:t>CLO#2</w:t>
            </w:r>
          </w:p>
        </w:tc>
        <w:tc>
          <w:tcPr>
            <w:tcW w:w="8190" w:type="dxa"/>
          </w:tcPr>
          <w:p w14:paraId="562695BF" w14:textId="77777777" w:rsidR="00104034" w:rsidRPr="00ED1ABB" w:rsidRDefault="00104034" w:rsidP="007A5BA1">
            <w:pPr>
              <w:pStyle w:val="BodyText"/>
              <w:jc w:val="left"/>
              <w:rPr>
                <w:rFonts w:ascii="Arial" w:eastAsia="Calibri" w:hAnsi="Arial"/>
                <w:b/>
                <w:sz w:val="20"/>
                <w:szCs w:val="20"/>
              </w:rPr>
            </w:pPr>
          </w:p>
        </w:tc>
        <w:tc>
          <w:tcPr>
            <w:tcW w:w="1705" w:type="dxa"/>
          </w:tcPr>
          <w:p w14:paraId="214BA039" w14:textId="77777777" w:rsidR="00104034" w:rsidRPr="00ED1ABB" w:rsidRDefault="00104034" w:rsidP="007A5BA1">
            <w:pPr>
              <w:pStyle w:val="BodyText"/>
              <w:jc w:val="left"/>
              <w:rPr>
                <w:rFonts w:ascii="Arial" w:eastAsia="Calibri" w:hAnsi="Arial"/>
                <w:b/>
                <w:sz w:val="20"/>
                <w:szCs w:val="20"/>
              </w:rPr>
            </w:pPr>
            <w:r>
              <w:rPr>
                <w:rFonts w:ascii="Arial" w:eastAsia="Calibri" w:hAnsi="Arial"/>
                <w:b/>
                <w:sz w:val="20"/>
                <w:szCs w:val="20"/>
              </w:rPr>
              <w:t>PLO(s)#</w:t>
            </w:r>
          </w:p>
        </w:tc>
      </w:tr>
      <w:tr w:rsidR="00104034" w14:paraId="5146870D" w14:textId="77777777" w:rsidTr="007A5BA1">
        <w:tc>
          <w:tcPr>
            <w:tcW w:w="895" w:type="dxa"/>
          </w:tcPr>
          <w:p w14:paraId="74548DAA" w14:textId="77777777" w:rsidR="00104034" w:rsidRPr="00ED1ABB" w:rsidRDefault="00104034" w:rsidP="007A5BA1">
            <w:pPr>
              <w:rPr>
                <w:b/>
                <w:sz w:val="20"/>
                <w:szCs w:val="20"/>
              </w:rPr>
            </w:pPr>
            <w:r>
              <w:rPr>
                <w:b/>
                <w:sz w:val="20"/>
                <w:szCs w:val="20"/>
              </w:rPr>
              <w:t>CLO#3</w:t>
            </w:r>
          </w:p>
        </w:tc>
        <w:tc>
          <w:tcPr>
            <w:tcW w:w="8190" w:type="dxa"/>
          </w:tcPr>
          <w:p w14:paraId="6ACB9F07" w14:textId="77777777" w:rsidR="00104034" w:rsidRPr="00ED1ABB" w:rsidRDefault="00104034" w:rsidP="007A5BA1">
            <w:pPr>
              <w:pStyle w:val="BodyText"/>
              <w:jc w:val="left"/>
              <w:rPr>
                <w:rFonts w:ascii="Arial" w:eastAsia="Calibri" w:hAnsi="Arial"/>
                <w:b/>
                <w:sz w:val="20"/>
                <w:szCs w:val="20"/>
              </w:rPr>
            </w:pPr>
          </w:p>
        </w:tc>
        <w:tc>
          <w:tcPr>
            <w:tcW w:w="1705" w:type="dxa"/>
          </w:tcPr>
          <w:p w14:paraId="20A0BB84" w14:textId="77777777" w:rsidR="00104034" w:rsidRPr="00ED1ABB" w:rsidRDefault="00104034" w:rsidP="007A5BA1">
            <w:pPr>
              <w:pStyle w:val="BodyText"/>
              <w:jc w:val="left"/>
              <w:rPr>
                <w:rFonts w:ascii="Arial" w:eastAsia="Calibri" w:hAnsi="Arial"/>
                <w:b/>
                <w:sz w:val="20"/>
                <w:szCs w:val="20"/>
              </w:rPr>
            </w:pPr>
            <w:r>
              <w:rPr>
                <w:rFonts w:ascii="Arial" w:eastAsia="Calibri" w:hAnsi="Arial"/>
                <w:b/>
                <w:sz w:val="20"/>
                <w:szCs w:val="20"/>
              </w:rPr>
              <w:t>PLO(s)#</w:t>
            </w:r>
          </w:p>
        </w:tc>
      </w:tr>
      <w:tr w:rsidR="00104034" w14:paraId="0864D376" w14:textId="77777777" w:rsidTr="007A5BA1">
        <w:tc>
          <w:tcPr>
            <w:tcW w:w="895" w:type="dxa"/>
          </w:tcPr>
          <w:p w14:paraId="19B7DE3C" w14:textId="77777777" w:rsidR="00104034" w:rsidRPr="00ED1ABB" w:rsidRDefault="00104034" w:rsidP="007A5BA1">
            <w:pPr>
              <w:rPr>
                <w:b/>
                <w:sz w:val="20"/>
                <w:szCs w:val="20"/>
              </w:rPr>
            </w:pPr>
            <w:r>
              <w:rPr>
                <w:b/>
                <w:sz w:val="20"/>
                <w:szCs w:val="20"/>
              </w:rPr>
              <w:t>CLO#4</w:t>
            </w:r>
          </w:p>
        </w:tc>
        <w:tc>
          <w:tcPr>
            <w:tcW w:w="8190" w:type="dxa"/>
          </w:tcPr>
          <w:p w14:paraId="3DD5557A" w14:textId="77777777" w:rsidR="00104034" w:rsidRPr="00ED1ABB" w:rsidRDefault="00104034" w:rsidP="007A5BA1">
            <w:pPr>
              <w:pStyle w:val="BodyText"/>
              <w:jc w:val="left"/>
              <w:rPr>
                <w:rFonts w:ascii="Arial" w:eastAsia="Calibri" w:hAnsi="Arial"/>
                <w:b/>
                <w:sz w:val="20"/>
                <w:szCs w:val="20"/>
              </w:rPr>
            </w:pPr>
          </w:p>
        </w:tc>
        <w:tc>
          <w:tcPr>
            <w:tcW w:w="1705" w:type="dxa"/>
          </w:tcPr>
          <w:p w14:paraId="3C3CED35" w14:textId="77777777" w:rsidR="00104034" w:rsidRPr="00ED1ABB" w:rsidRDefault="00104034" w:rsidP="007A5BA1">
            <w:pPr>
              <w:pStyle w:val="BodyText"/>
              <w:jc w:val="left"/>
              <w:rPr>
                <w:rFonts w:ascii="Arial" w:eastAsia="Calibri" w:hAnsi="Arial"/>
                <w:b/>
                <w:sz w:val="20"/>
                <w:szCs w:val="20"/>
              </w:rPr>
            </w:pPr>
            <w:r>
              <w:rPr>
                <w:rFonts w:ascii="Arial" w:eastAsia="Calibri" w:hAnsi="Arial"/>
                <w:b/>
                <w:sz w:val="20"/>
                <w:szCs w:val="20"/>
              </w:rPr>
              <w:t>PLO(s)#</w:t>
            </w:r>
          </w:p>
        </w:tc>
      </w:tr>
      <w:tr w:rsidR="00104034" w14:paraId="21FD6A87" w14:textId="77777777" w:rsidTr="007A5BA1">
        <w:tc>
          <w:tcPr>
            <w:tcW w:w="895" w:type="dxa"/>
          </w:tcPr>
          <w:p w14:paraId="1F111B1A" w14:textId="77777777" w:rsidR="00104034" w:rsidRPr="00ED1ABB" w:rsidRDefault="00104034" w:rsidP="007A5BA1">
            <w:pPr>
              <w:rPr>
                <w:b/>
                <w:sz w:val="20"/>
                <w:szCs w:val="20"/>
              </w:rPr>
            </w:pPr>
            <w:r>
              <w:rPr>
                <w:b/>
                <w:sz w:val="20"/>
                <w:szCs w:val="20"/>
              </w:rPr>
              <w:t>CLO#5</w:t>
            </w:r>
          </w:p>
        </w:tc>
        <w:tc>
          <w:tcPr>
            <w:tcW w:w="8190" w:type="dxa"/>
          </w:tcPr>
          <w:p w14:paraId="6E4987FD" w14:textId="77777777" w:rsidR="00104034" w:rsidRPr="00ED1ABB" w:rsidRDefault="00104034" w:rsidP="007A5BA1">
            <w:pPr>
              <w:pStyle w:val="BodyText"/>
              <w:jc w:val="left"/>
              <w:rPr>
                <w:rFonts w:ascii="Arial" w:eastAsia="Calibri" w:hAnsi="Arial"/>
                <w:b/>
                <w:sz w:val="20"/>
                <w:szCs w:val="20"/>
              </w:rPr>
            </w:pPr>
          </w:p>
        </w:tc>
        <w:tc>
          <w:tcPr>
            <w:tcW w:w="1705" w:type="dxa"/>
          </w:tcPr>
          <w:p w14:paraId="15F2E30F" w14:textId="77777777" w:rsidR="00104034" w:rsidRPr="00ED1ABB" w:rsidRDefault="00104034" w:rsidP="007A5BA1">
            <w:pPr>
              <w:pStyle w:val="BodyText"/>
              <w:jc w:val="left"/>
              <w:rPr>
                <w:rFonts w:ascii="Arial" w:eastAsia="Calibri" w:hAnsi="Arial"/>
                <w:b/>
                <w:sz w:val="20"/>
                <w:szCs w:val="20"/>
              </w:rPr>
            </w:pPr>
            <w:r>
              <w:rPr>
                <w:rFonts w:ascii="Arial" w:eastAsia="Calibri" w:hAnsi="Arial"/>
                <w:b/>
                <w:sz w:val="20"/>
                <w:szCs w:val="20"/>
              </w:rPr>
              <w:t>PLO(s)#</w:t>
            </w:r>
          </w:p>
        </w:tc>
      </w:tr>
    </w:tbl>
    <w:p w14:paraId="11EC79BD" w14:textId="4B520BD1" w:rsidR="00104034" w:rsidRDefault="00104034" w:rsidP="00FC40AD">
      <w:pPr>
        <w:spacing w:line="240" w:lineRule="auto"/>
        <w:rPr>
          <w:rFonts w:cs="Tahoma"/>
          <w:szCs w:val="20"/>
        </w:rPr>
      </w:pPr>
    </w:p>
    <w:p w14:paraId="259C363B" w14:textId="77777777" w:rsidR="00D47204" w:rsidRPr="00C2533F" w:rsidRDefault="00D47204" w:rsidP="00FC40AD">
      <w:pPr>
        <w:spacing w:line="240" w:lineRule="auto"/>
        <w:rPr>
          <w:rFonts w:cs="Tahoma"/>
          <w:szCs w:val="20"/>
        </w:rPr>
      </w:pPr>
    </w:p>
    <w:p w14:paraId="38070015" w14:textId="77777777" w:rsidR="00C83E0F" w:rsidRDefault="005B4AD8" w:rsidP="00371051">
      <w:pPr>
        <w:pStyle w:val="Heading2"/>
      </w:pPr>
      <w:r>
        <w:t>C</w:t>
      </w:r>
      <w:r w:rsidR="00B512BE">
        <w:t>ourse Learning Assignments and Assessments</w:t>
      </w:r>
    </w:p>
    <w:p w14:paraId="7F9AF6D9" w14:textId="77777777" w:rsidR="00C74822" w:rsidRDefault="00C74822" w:rsidP="00371051">
      <w:pPr>
        <w:pStyle w:val="Heading3"/>
      </w:pPr>
      <w:r>
        <w:t xml:space="preserve">Grading </w:t>
      </w:r>
    </w:p>
    <w:p w14:paraId="76FCDF23" w14:textId="77777777" w:rsidR="00C74822" w:rsidRDefault="00C74822" w:rsidP="007D3DE6">
      <w:pPr>
        <w:spacing w:line="240" w:lineRule="auto"/>
        <w:rPr>
          <w:rFonts w:cs="Tahoma"/>
          <w:b/>
          <w:szCs w:val="20"/>
        </w:rPr>
      </w:pPr>
    </w:p>
    <w:p w14:paraId="5E0928BD" w14:textId="77777777" w:rsidR="00191C80" w:rsidRDefault="00191C80" w:rsidP="007D3DE6">
      <w:pPr>
        <w:spacing w:line="240" w:lineRule="auto"/>
        <w:rPr>
          <w:rFonts w:cs="Tahoma"/>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762"/>
      </w:tblGrid>
      <w:tr w:rsidR="00191C80" w:rsidRPr="00E22EB8" w14:paraId="5AA942F3" w14:textId="77777777" w:rsidTr="00766E97">
        <w:trPr>
          <w:jc w:val="center"/>
        </w:trPr>
        <w:tc>
          <w:tcPr>
            <w:tcW w:w="4338" w:type="dxa"/>
          </w:tcPr>
          <w:p w14:paraId="206CD193" w14:textId="77777777" w:rsidR="00191C80" w:rsidRPr="006B046B" w:rsidRDefault="00191C80">
            <w:pPr>
              <w:spacing w:line="240" w:lineRule="auto"/>
              <w:rPr>
                <w:rFonts w:cs="Tahoma"/>
                <w:bCs/>
                <w:szCs w:val="20"/>
              </w:rPr>
            </w:pPr>
            <w:r>
              <w:rPr>
                <w:rFonts w:cs="Tahoma"/>
                <w:bCs/>
                <w:szCs w:val="20"/>
              </w:rPr>
              <w:t xml:space="preserve">Enter </w:t>
            </w:r>
            <w:r w:rsidR="004075D7">
              <w:rPr>
                <w:rFonts w:cs="Tahoma"/>
                <w:bCs/>
                <w:szCs w:val="20"/>
              </w:rPr>
              <w:t xml:space="preserve">Grade Category </w:t>
            </w:r>
            <w:r w:rsidR="004075D7" w:rsidRPr="00E56FA1">
              <w:rPr>
                <w:rFonts w:cs="Tahoma"/>
                <w:bCs/>
                <w:szCs w:val="20"/>
              </w:rPr>
              <w:t>1</w:t>
            </w:r>
            <w:r w:rsidR="004075D7">
              <w:rPr>
                <w:rFonts w:cs="Tahoma"/>
                <w:bCs/>
                <w:szCs w:val="20"/>
              </w:rPr>
              <w:t xml:space="preserve"> (e.g. Discussions)</w:t>
            </w:r>
          </w:p>
        </w:tc>
        <w:tc>
          <w:tcPr>
            <w:tcW w:w="1762" w:type="dxa"/>
          </w:tcPr>
          <w:p w14:paraId="09B0B1FF" w14:textId="77777777" w:rsidR="00191C80" w:rsidRPr="006B046B" w:rsidRDefault="00191C80" w:rsidP="002521B1">
            <w:pPr>
              <w:spacing w:line="240" w:lineRule="auto"/>
              <w:rPr>
                <w:rFonts w:cs="Tahoma"/>
                <w:bCs/>
                <w:szCs w:val="20"/>
              </w:rPr>
            </w:pPr>
            <w:r w:rsidRPr="00E56FA1">
              <w:rPr>
                <w:rFonts w:cs="Tahoma"/>
                <w:bCs/>
                <w:szCs w:val="20"/>
              </w:rPr>
              <w:t xml:space="preserve">Enter </w:t>
            </w:r>
            <w:r>
              <w:rPr>
                <w:rFonts w:cs="Tahoma"/>
                <w:bCs/>
                <w:szCs w:val="20"/>
              </w:rPr>
              <w:t>%</w:t>
            </w:r>
          </w:p>
        </w:tc>
      </w:tr>
      <w:tr w:rsidR="00191C80" w:rsidRPr="00E22EB8" w14:paraId="208A7735" w14:textId="77777777" w:rsidTr="00766E97">
        <w:trPr>
          <w:jc w:val="center"/>
        </w:trPr>
        <w:tc>
          <w:tcPr>
            <w:tcW w:w="4338" w:type="dxa"/>
          </w:tcPr>
          <w:p w14:paraId="2A7A50C6" w14:textId="77777777" w:rsidR="00191C80" w:rsidRPr="006B046B" w:rsidRDefault="004075D7" w:rsidP="002521B1">
            <w:pPr>
              <w:spacing w:line="240" w:lineRule="auto"/>
              <w:rPr>
                <w:rFonts w:cs="Tahoma"/>
                <w:bCs/>
                <w:szCs w:val="20"/>
              </w:rPr>
            </w:pPr>
            <w:r>
              <w:rPr>
                <w:rFonts w:cs="Tahoma"/>
                <w:bCs/>
                <w:szCs w:val="20"/>
              </w:rPr>
              <w:t>Enter Grade Category 2</w:t>
            </w:r>
          </w:p>
        </w:tc>
        <w:tc>
          <w:tcPr>
            <w:tcW w:w="1762" w:type="dxa"/>
          </w:tcPr>
          <w:p w14:paraId="3179965F"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3800927C" w14:textId="77777777" w:rsidTr="00766E97">
        <w:trPr>
          <w:jc w:val="center"/>
        </w:trPr>
        <w:tc>
          <w:tcPr>
            <w:tcW w:w="4338" w:type="dxa"/>
          </w:tcPr>
          <w:p w14:paraId="7B0BE4AC" w14:textId="77777777" w:rsidR="00191C80" w:rsidRPr="006B046B" w:rsidRDefault="004075D7" w:rsidP="002521B1">
            <w:pPr>
              <w:spacing w:line="240" w:lineRule="auto"/>
              <w:rPr>
                <w:rFonts w:cs="Tahoma"/>
                <w:bCs/>
                <w:szCs w:val="20"/>
              </w:rPr>
            </w:pPr>
            <w:r>
              <w:rPr>
                <w:rFonts w:cs="Tahoma"/>
                <w:bCs/>
                <w:szCs w:val="20"/>
              </w:rPr>
              <w:t>Enter Grade Category 3</w:t>
            </w:r>
          </w:p>
        </w:tc>
        <w:tc>
          <w:tcPr>
            <w:tcW w:w="1762" w:type="dxa"/>
          </w:tcPr>
          <w:p w14:paraId="12509213"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361EA8F4" w14:textId="77777777" w:rsidTr="00766E97">
        <w:trPr>
          <w:jc w:val="center"/>
        </w:trPr>
        <w:tc>
          <w:tcPr>
            <w:tcW w:w="4338" w:type="dxa"/>
          </w:tcPr>
          <w:p w14:paraId="09005FA4" w14:textId="77777777" w:rsidR="00191C80" w:rsidRPr="006B046B" w:rsidRDefault="004075D7" w:rsidP="002521B1">
            <w:pPr>
              <w:spacing w:line="240" w:lineRule="auto"/>
              <w:rPr>
                <w:rFonts w:cs="Tahoma"/>
                <w:bCs/>
                <w:szCs w:val="20"/>
              </w:rPr>
            </w:pPr>
            <w:r>
              <w:rPr>
                <w:rFonts w:cs="Tahoma"/>
                <w:bCs/>
                <w:szCs w:val="20"/>
              </w:rPr>
              <w:t>Enter Grade Category 4</w:t>
            </w:r>
          </w:p>
        </w:tc>
        <w:tc>
          <w:tcPr>
            <w:tcW w:w="1762" w:type="dxa"/>
          </w:tcPr>
          <w:p w14:paraId="6E61B9B8"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r w:rsidRPr="00161DD3">
              <w:rPr>
                <w:rFonts w:cs="Tahoma"/>
                <w:b/>
                <w:bCs/>
                <w:szCs w:val="20"/>
              </w:rPr>
              <w:t xml:space="preserve"> </w:t>
            </w:r>
          </w:p>
        </w:tc>
      </w:tr>
      <w:tr w:rsidR="00191C80" w:rsidRPr="00E22EB8" w14:paraId="0A3E7FB1" w14:textId="77777777" w:rsidTr="00766E97">
        <w:trPr>
          <w:jc w:val="center"/>
        </w:trPr>
        <w:tc>
          <w:tcPr>
            <w:tcW w:w="4338" w:type="dxa"/>
          </w:tcPr>
          <w:p w14:paraId="51445BB3" w14:textId="77777777" w:rsidR="00191C80" w:rsidRPr="006B046B" w:rsidRDefault="00191C80" w:rsidP="002521B1">
            <w:pPr>
              <w:spacing w:line="240" w:lineRule="auto"/>
              <w:rPr>
                <w:rFonts w:cs="Tahoma"/>
                <w:b/>
                <w:bCs/>
                <w:szCs w:val="20"/>
              </w:rPr>
            </w:pPr>
            <w:r w:rsidRPr="006B046B">
              <w:rPr>
                <w:rFonts w:cs="Tahoma"/>
                <w:b/>
                <w:bCs/>
                <w:szCs w:val="20"/>
              </w:rPr>
              <w:t>Total</w:t>
            </w:r>
          </w:p>
        </w:tc>
        <w:tc>
          <w:tcPr>
            <w:tcW w:w="1762" w:type="dxa"/>
          </w:tcPr>
          <w:p w14:paraId="467ED1AC" w14:textId="77777777" w:rsidR="00191C80" w:rsidRPr="006B046B" w:rsidRDefault="004075D7" w:rsidP="002521B1">
            <w:pPr>
              <w:spacing w:line="240" w:lineRule="auto"/>
              <w:rPr>
                <w:rFonts w:cs="Tahoma"/>
                <w:b/>
                <w:bCs/>
                <w:szCs w:val="20"/>
              </w:rPr>
            </w:pPr>
            <w:r>
              <w:rPr>
                <w:rFonts w:cs="Tahoma"/>
                <w:b/>
                <w:bCs/>
                <w:szCs w:val="20"/>
              </w:rPr>
              <w:t>10</w:t>
            </w:r>
            <w:r w:rsidR="00191C80">
              <w:rPr>
                <w:rFonts w:cs="Tahoma"/>
                <w:b/>
                <w:bCs/>
                <w:szCs w:val="20"/>
              </w:rPr>
              <w:fldChar w:fldCharType="begin"/>
            </w:r>
            <w:r w:rsidR="00191C80">
              <w:rPr>
                <w:rFonts w:cs="Tahoma"/>
                <w:b/>
                <w:bCs/>
                <w:szCs w:val="20"/>
              </w:rPr>
              <w:instrText xml:space="preserve"> =sum(above) \# "0%" </w:instrText>
            </w:r>
            <w:r w:rsidR="00191C80">
              <w:rPr>
                <w:rFonts w:cs="Tahoma"/>
                <w:b/>
                <w:bCs/>
                <w:szCs w:val="20"/>
              </w:rPr>
              <w:fldChar w:fldCharType="separate"/>
            </w:r>
            <w:r w:rsidR="00191C80">
              <w:rPr>
                <w:rFonts w:cs="Tahoma"/>
                <w:b/>
                <w:bCs/>
                <w:noProof/>
                <w:szCs w:val="20"/>
              </w:rPr>
              <w:t>0%</w:t>
            </w:r>
            <w:r w:rsidR="00191C80">
              <w:rPr>
                <w:rFonts w:cs="Tahoma"/>
                <w:b/>
                <w:bCs/>
                <w:szCs w:val="20"/>
              </w:rPr>
              <w:fldChar w:fldCharType="end"/>
            </w:r>
          </w:p>
        </w:tc>
      </w:tr>
    </w:tbl>
    <w:p w14:paraId="1AB5525D" w14:textId="77777777" w:rsidR="00191C80" w:rsidRDefault="00191C80" w:rsidP="007D3DE6">
      <w:pPr>
        <w:spacing w:line="240" w:lineRule="auto"/>
        <w:rPr>
          <w:rFonts w:cs="Tahoma"/>
          <w:b/>
          <w:szCs w:val="20"/>
        </w:rPr>
      </w:pPr>
    </w:p>
    <w:p w14:paraId="392581F1" w14:textId="77777777" w:rsidR="00191C80" w:rsidRPr="00107BCA" w:rsidRDefault="00191C80" w:rsidP="00371051">
      <w:pPr>
        <w:pStyle w:val="Heading4"/>
      </w:pPr>
      <w:r w:rsidRPr="00133594">
        <w:t xml:space="preserve">Enter </w:t>
      </w:r>
      <w:r w:rsidR="004075D7">
        <w:t>Grade Category 1</w:t>
      </w:r>
      <w:r>
        <w:t xml:space="preserve"> from table above</w:t>
      </w:r>
      <w:r w:rsidRPr="00133594">
        <w:t xml:space="preserve"> </w:t>
      </w:r>
      <w:r>
        <w:t>–</w:t>
      </w:r>
      <w:r w:rsidRPr="00133594">
        <w:t xml:space="preserve"> </w:t>
      </w:r>
      <w:r>
        <w:t xml:space="preserve">Enter </w:t>
      </w:r>
      <w:r w:rsidR="00766E97">
        <w:t>%</w:t>
      </w:r>
    </w:p>
    <w:p w14:paraId="0DC8F74E" w14:textId="77777777" w:rsidR="00191C80" w:rsidRDefault="00191C80" w:rsidP="00191C80">
      <w:pPr>
        <w:rPr>
          <w:rFonts w:cs="Tahoma"/>
          <w:szCs w:val="20"/>
        </w:rPr>
      </w:pPr>
      <w:r>
        <w:rPr>
          <w:rFonts w:cs="Tahoma"/>
          <w:szCs w:val="20"/>
        </w:rPr>
        <w:t xml:space="preserve">Enter description for </w:t>
      </w:r>
      <w:r w:rsidR="004075D7">
        <w:rPr>
          <w:rFonts w:cs="Tahoma"/>
          <w:szCs w:val="20"/>
        </w:rPr>
        <w:t>Grade Category 1. Provide guidelines, standards and rubrics.</w:t>
      </w:r>
    </w:p>
    <w:p w14:paraId="71C42DF2" w14:textId="77777777" w:rsidR="00191C80" w:rsidRDefault="00191C80" w:rsidP="00191C80">
      <w:pPr>
        <w:rPr>
          <w:rFonts w:cs="Tahoma"/>
          <w:szCs w:val="20"/>
        </w:rPr>
      </w:pPr>
    </w:p>
    <w:p w14:paraId="0E23891D" w14:textId="77777777" w:rsidR="004075D7" w:rsidRPr="00107BCA" w:rsidRDefault="004075D7" w:rsidP="00371051">
      <w:pPr>
        <w:pStyle w:val="Heading4"/>
      </w:pPr>
      <w:r w:rsidRPr="00133594">
        <w:t xml:space="preserve">Enter </w:t>
      </w:r>
      <w:r>
        <w:t>Grade Category 2 from table above</w:t>
      </w:r>
      <w:r w:rsidRPr="00133594">
        <w:t xml:space="preserve"> </w:t>
      </w:r>
      <w:r>
        <w:t>–</w:t>
      </w:r>
      <w:r w:rsidRPr="00133594">
        <w:t xml:space="preserve"> </w:t>
      </w:r>
      <w:r>
        <w:t>Enter %</w:t>
      </w:r>
    </w:p>
    <w:p w14:paraId="06BB9EA0" w14:textId="77777777" w:rsidR="004075D7" w:rsidRDefault="004075D7" w:rsidP="004075D7">
      <w:pPr>
        <w:rPr>
          <w:rFonts w:cs="Tahoma"/>
          <w:szCs w:val="20"/>
        </w:rPr>
      </w:pPr>
      <w:r>
        <w:rPr>
          <w:rFonts w:cs="Tahoma"/>
          <w:szCs w:val="20"/>
        </w:rPr>
        <w:t>Enter description for Grade Category 2. Provide guidelines, standards and rubrics.</w:t>
      </w:r>
    </w:p>
    <w:p w14:paraId="66C1170C" w14:textId="77777777" w:rsidR="00191C80" w:rsidRDefault="00191C80" w:rsidP="00191C80">
      <w:pPr>
        <w:rPr>
          <w:rFonts w:cs="Tahoma"/>
          <w:szCs w:val="20"/>
        </w:rPr>
      </w:pPr>
    </w:p>
    <w:p w14:paraId="189E06AC" w14:textId="77777777" w:rsidR="004075D7" w:rsidRPr="00107BCA" w:rsidRDefault="004075D7" w:rsidP="00371051">
      <w:pPr>
        <w:pStyle w:val="Heading4"/>
      </w:pPr>
      <w:r w:rsidRPr="00133594">
        <w:t xml:space="preserve">Enter </w:t>
      </w:r>
      <w:r>
        <w:t>Grade Category 3 from table above</w:t>
      </w:r>
      <w:r w:rsidRPr="00133594">
        <w:t xml:space="preserve"> </w:t>
      </w:r>
      <w:r>
        <w:t>–</w:t>
      </w:r>
      <w:r w:rsidRPr="00133594">
        <w:t xml:space="preserve"> </w:t>
      </w:r>
      <w:r>
        <w:t>Enter %</w:t>
      </w:r>
    </w:p>
    <w:p w14:paraId="26E756F0" w14:textId="77777777" w:rsidR="004075D7" w:rsidRDefault="004075D7" w:rsidP="004075D7">
      <w:pPr>
        <w:rPr>
          <w:rFonts w:cs="Tahoma"/>
          <w:szCs w:val="20"/>
        </w:rPr>
      </w:pPr>
      <w:r>
        <w:rPr>
          <w:rFonts w:cs="Tahoma"/>
          <w:szCs w:val="20"/>
        </w:rPr>
        <w:t>Enter description for Grade Category 3. Provide guidelines, standards and rubrics.</w:t>
      </w:r>
    </w:p>
    <w:p w14:paraId="13FEF867" w14:textId="77777777" w:rsidR="00191C80" w:rsidRDefault="00191C80" w:rsidP="00191C80">
      <w:pPr>
        <w:spacing w:line="240" w:lineRule="auto"/>
        <w:rPr>
          <w:rFonts w:cs="Tahoma"/>
          <w:b/>
          <w:szCs w:val="20"/>
        </w:rPr>
      </w:pPr>
    </w:p>
    <w:p w14:paraId="378C43C6" w14:textId="77777777" w:rsidR="004075D7" w:rsidRPr="00107BCA" w:rsidRDefault="004075D7" w:rsidP="00371051">
      <w:pPr>
        <w:pStyle w:val="Heading4"/>
      </w:pPr>
      <w:r w:rsidRPr="00133594">
        <w:t xml:space="preserve">Enter </w:t>
      </w:r>
      <w:r>
        <w:t>Grade Category 4 from table above</w:t>
      </w:r>
      <w:r w:rsidRPr="00133594">
        <w:t xml:space="preserve"> </w:t>
      </w:r>
      <w:r>
        <w:t>–</w:t>
      </w:r>
      <w:r w:rsidRPr="00133594">
        <w:t xml:space="preserve"> </w:t>
      </w:r>
      <w:r>
        <w:t>Enter %</w:t>
      </w:r>
    </w:p>
    <w:p w14:paraId="6FDCDFC1" w14:textId="77777777" w:rsidR="004075D7" w:rsidRDefault="004075D7" w:rsidP="004075D7">
      <w:pPr>
        <w:rPr>
          <w:rFonts w:cs="Tahoma"/>
          <w:szCs w:val="20"/>
        </w:rPr>
      </w:pPr>
      <w:r>
        <w:rPr>
          <w:rFonts w:cs="Tahoma"/>
          <w:szCs w:val="20"/>
        </w:rPr>
        <w:t>Enter description for Grade Category 4. Provide guidelines, standards and rubrics.</w:t>
      </w:r>
    </w:p>
    <w:p w14:paraId="0780DA0A" w14:textId="77777777" w:rsidR="00191C80" w:rsidRDefault="00191C80" w:rsidP="00191C80">
      <w:pPr>
        <w:rPr>
          <w:rFonts w:cs="Tahoma"/>
          <w:szCs w:val="20"/>
        </w:rPr>
      </w:pPr>
    </w:p>
    <w:p w14:paraId="75396CE6" w14:textId="77777777" w:rsidR="00E4279F" w:rsidRPr="00055A14" w:rsidRDefault="00E4279F" w:rsidP="00371051">
      <w:pPr>
        <w:pStyle w:val="Heading3"/>
      </w:pPr>
      <w:r w:rsidRPr="00055A14">
        <w:t>GRADE EQUIVALENCY TABLE</w:t>
      </w:r>
    </w:p>
    <w:p w14:paraId="3713A765" w14:textId="77777777" w:rsidR="00E4279F" w:rsidRPr="00055A14" w:rsidRDefault="00E4279F" w:rsidP="00E4279F">
      <w:pPr>
        <w:spacing w:after="200"/>
        <w:rPr>
          <w:rFonts w:cs="Tahoma"/>
          <w:szCs w:val="20"/>
        </w:rPr>
      </w:pPr>
      <w:r w:rsidRPr="00055A14">
        <w:rPr>
          <w:rFonts w:cs="Tahoma"/>
          <w:szCs w:val="20"/>
        </w:rPr>
        <w:t>All grades are reported in a system of eleven letter grades designated as “A” through “F” with appropriate plus and minus additions reflecting the following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900"/>
        <w:gridCol w:w="1017"/>
      </w:tblGrid>
      <w:tr w:rsidR="00844691" w:rsidRPr="00521B61" w14:paraId="354A4C69" w14:textId="77777777" w:rsidTr="00844691">
        <w:trPr>
          <w:jc w:val="center"/>
        </w:trPr>
        <w:tc>
          <w:tcPr>
            <w:tcW w:w="1353" w:type="dxa"/>
            <w:shd w:val="clear" w:color="auto" w:fill="auto"/>
          </w:tcPr>
          <w:p w14:paraId="0809A0A4" w14:textId="77777777" w:rsidR="00844691" w:rsidRPr="003C29C9" w:rsidRDefault="00844691" w:rsidP="00603B58">
            <w:pPr>
              <w:spacing w:line="240" w:lineRule="auto"/>
              <w:jc w:val="center"/>
              <w:rPr>
                <w:rFonts w:cs="Tahoma"/>
                <w:b/>
                <w:szCs w:val="20"/>
              </w:rPr>
            </w:pPr>
            <w:r w:rsidRPr="003C29C9">
              <w:rPr>
                <w:rFonts w:cs="Tahoma"/>
                <w:b/>
                <w:szCs w:val="20"/>
              </w:rPr>
              <w:t>Percentage</w:t>
            </w:r>
          </w:p>
          <w:p w14:paraId="746469F9" w14:textId="77777777" w:rsidR="00844691" w:rsidRPr="003C29C9" w:rsidRDefault="00844691" w:rsidP="00603B58">
            <w:pPr>
              <w:spacing w:line="240" w:lineRule="auto"/>
              <w:jc w:val="center"/>
              <w:rPr>
                <w:rFonts w:cs="Tahoma"/>
                <w:b/>
                <w:szCs w:val="20"/>
              </w:rPr>
            </w:pPr>
            <w:r w:rsidRPr="003C29C9">
              <w:rPr>
                <w:rFonts w:cs="Tahoma"/>
                <w:b/>
                <w:szCs w:val="20"/>
              </w:rPr>
              <w:t>Value</w:t>
            </w:r>
          </w:p>
        </w:tc>
        <w:tc>
          <w:tcPr>
            <w:tcW w:w="900" w:type="dxa"/>
            <w:shd w:val="clear" w:color="auto" w:fill="auto"/>
          </w:tcPr>
          <w:p w14:paraId="4B4270B7" w14:textId="77777777" w:rsidR="00844691" w:rsidRPr="003C29C9" w:rsidRDefault="00844691" w:rsidP="00603B58">
            <w:pPr>
              <w:spacing w:line="240" w:lineRule="auto"/>
              <w:jc w:val="center"/>
              <w:rPr>
                <w:rFonts w:cs="Tahoma"/>
                <w:b/>
                <w:szCs w:val="20"/>
              </w:rPr>
            </w:pPr>
            <w:r w:rsidRPr="003C29C9">
              <w:rPr>
                <w:rFonts w:cs="Tahoma"/>
                <w:b/>
                <w:szCs w:val="20"/>
              </w:rPr>
              <w:t>Letter</w:t>
            </w:r>
          </w:p>
          <w:p w14:paraId="4EEAEEAD" w14:textId="77777777" w:rsidR="00844691" w:rsidRPr="003C29C9" w:rsidRDefault="00844691" w:rsidP="00603B58">
            <w:pPr>
              <w:spacing w:line="240" w:lineRule="auto"/>
              <w:jc w:val="center"/>
              <w:rPr>
                <w:rFonts w:cs="Tahoma"/>
                <w:b/>
                <w:szCs w:val="20"/>
              </w:rPr>
            </w:pPr>
            <w:r w:rsidRPr="003C29C9">
              <w:rPr>
                <w:rFonts w:cs="Tahoma"/>
                <w:b/>
                <w:szCs w:val="20"/>
              </w:rPr>
              <w:t>Grade</w:t>
            </w:r>
          </w:p>
        </w:tc>
        <w:tc>
          <w:tcPr>
            <w:tcW w:w="1017" w:type="dxa"/>
          </w:tcPr>
          <w:p w14:paraId="25D346A7" w14:textId="77777777" w:rsidR="00844691" w:rsidRPr="003C29C9" w:rsidRDefault="00844691" w:rsidP="00603B58">
            <w:pPr>
              <w:spacing w:line="240" w:lineRule="auto"/>
              <w:jc w:val="center"/>
              <w:rPr>
                <w:rFonts w:cs="Tahoma"/>
                <w:b/>
                <w:szCs w:val="20"/>
              </w:rPr>
            </w:pPr>
            <w:r>
              <w:rPr>
                <w:rFonts w:cs="Tahoma"/>
                <w:b/>
                <w:szCs w:val="20"/>
              </w:rPr>
              <w:t>Numeric Value for GPA</w:t>
            </w:r>
          </w:p>
        </w:tc>
      </w:tr>
      <w:tr w:rsidR="006C38E7" w:rsidRPr="00521B61" w14:paraId="0F40065F" w14:textId="77777777" w:rsidTr="00844691">
        <w:trPr>
          <w:jc w:val="center"/>
        </w:trPr>
        <w:tc>
          <w:tcPr>
            <w:tcW w:w="1353" w:type="dxa"/>
            <w:shd w:val="clear" w:color="auto" w:fill="auto"/>
          </w:tcPr>
          <w:p w14:paraId="7E622684" w14:textId="77777777" w:rsidR="006C38E7" w:rsidRPr="003823C3" w:rsidRDefault="006C38E7" w:rsidP="006C38E7">
            <w:pPr>
              <w:rPr>
                <w:rFonts w:cs="Tahoma"/>
                <w:sz w:val="22"/>
              </w:rPr>
            </w:pPr>
            <w:r>
              <w:rPr>
                <w:rFonts w:cs="Tahoma"/>
                <w:sz w:val="22"/>
              </w:rPr>
              <w:t>96-100</w:t>
            </w:r>
          </w:p>
        </w:tc>
        <w:tc>
          <w:tcPr>
            <w:tcW w:w="900" w:type="dxa"/>
            <w:shd w:val="clear" w:color="auto" w:fill="auto"/>
          </w:tcPr>
          <w:p w14:paraId="166C9602"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5EC38E89" w14:textId="77777777" w:rsidR="006C38E7" w:rsidRDefault="006C38E7" w:rsidP="006C38E7">
            <w:pPr>
              <w:spacing w:line="240" w:lineRule="auto"/>
              <w:rPr>
                <w:rFonts w:cs="Tahoma"/>
                <w:szCs w:val="20"/>
              </w:rPr>
            </w:pPr>
            <w:r>
              <w:rPr>
                <w:rFonts w:cs="Tahoma"/>
                <w:szCs w:val="20"/>
              </w:rPr>
              <w:t>4.0</w:t>
            </w:r>
          </w:p>
        </w:tc>
      </w:tr>
      <w:tr w:rsidR="006C38E7" w:rsidRPr="00521B61" w14:paraId="4B72F4C0" w14:textId="77777777" w:rsidTr="00844691">
        <w:trPr>
          <w:jc w:val="center"/>
        </w:trPr>
        <w:tc>
          <w:tcPr>
            <w:tcW w:w="1353" w:type="dxa"/>
            <w:shd w:val="clear" w:color="auto" w:fill="auto"/>
          </w:tcPr>
          <w:p w14:paraId="264133DE" w14:textId="77777777" w:rsidR="006C38E7" w:rsidRPr="003823C3" w:rsidRDefault="006C38E7" w:rsidP="006C38E7">
            <w:pPr>
              <w:rPr>
                <w:rFonts w:cs="Tahoma"/>
                <w:sz w:val="22"/>
              </w:rPr>
            </w:pPr>
            <w:r>
              <w:rPr>
                <w:rFonts w:cs="Tahoma"/>
                <w:sz w:val="22"/>
              </w:rPr>
              <w:t>93-96</w:t>
            </w:r>
          </w:p>
        </w:tc>
        <w:tc>
          <w:tcPr>
            <w:tcW w:w="900" w:type="dxa"/>
            <w:shd w:val="clear" w:color="auto" w:fill="auto"/>
          </w:tcPr>
          <w:p w14:paraId="2E6F9ED2"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0B2CA998" w14:textId="77777777" w:rsidR="006C38E7" w:rsidRDefault="006C38E7" w:rsidP="006C38E7">
            <w:pPr>
              <w:spacing w:line="240" w:lineRule="auto"/>
              <w:rPr>
                <w:rFonts w:cs="Tahoma"/>
                <w:szCs w:val="20"/>
              </w:rPr>
            </w:pPr>
            <w:r>
              <w:rPr>
                <w:rFonts w:cs="Tahoma"/>
                <w:szCs w:val="20"/>
              </w:rPr>
              <w:t>3.7</w:t>
            </w:r>
          </w:p>
        </w:tc>
      </w:tr>
      <w:tr w:rsidR="006C38E7" w:rsidRPr="00521B61" w14:paraId="36E9F3B5" w14:textId="77777777" w:rsidTr="00844691">
        <w:trPr>
          <w:jc w:val="center"/>
        </w:trPr>
        <w:tc>
          <w:tcPr>
            <w:tcW w:w="1353" w:type="dxa"/>
            <w:shd w:val="clear" w:color="auto" w:fill="auto"/>
          </w:tcPr>
          <w:p w14:paraId="14243D00" w14:textId="77777777" w:rsidR="006C38E7" w:rsidRPr="003823C3" w:rsidRDefault="006C38E7" w:rsidP="006C38E7">
            <w:pPr>
              <w:rPr>
                <w:rFonts w:cs="Tahoma"/>
                <w:sz w:val="22"/>
              </w:rPr>
            </w:pPr>
            <w:r>
              <w:rPr>
                <w:rFonts w:cs="Tahoma"/>
                <w:sz w:val="22"/>
              </w:rPr>
              <w:t>90-93</w:t>
            </w:r>
          </w:p>
        </w:tc>
        <w:tc>
          <w:tcPr>
            <w:tcW w:w="900" w:type="dxa"/>
            <w:shd w:val="clear" w:color="auto" w:fill="auto"/>
          </w:tcPr>
          <w:p w14:paraId="4D44D4E8"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64A8B30D" w14:textId="77777777" w:rsidR="006C38E7" w:rsidRDefault="006C38E7" w:rsidP="006C38E7">
            <w:pPr>
              <w:spacing w:line="240" w:lineRule="auto"/>
              <w:rPr>
                <w:rFonts w:cs="Tahoma"/>
                <w:szCs w:val="20"/>
              </w:rPr>
            </w:pPr>
            <w:r>
              <w:rPr>
                <w:rFonts w:cs="Tahoma"/>
                <w:szCs w:val="20"/>
              </w:rPr>
              <w:t>3.4</w:t>
            </w:r>
          </w:p>
        </w:tc>
      </w:tr>
      <w:tr w:rsidR="006C38E7" w:rsidRPr="00521B61" w14:paraId="5EE1E08F" w14:textId="77777777" w:rsidTr="00844691">
        <w:trPr>
          <w:jc w:val="center"/>
        </w:trPr>
        <w:tc>
          <w:tcPr>
            <w:tcW w:w="1353" w:type="dxa"/>
            <w:shd w:val="clear" w:color="auto" w:fill="auto"/>
          </w:tcPr>
          <w:p w14:paraId="48373581" w14:textId="77777777" w:rsidR="006C38E7" w:rsidRPr="003823C3" w:rsidRDefault="006C38E7" w:rsidP="006C38E7">
            <w:pPr>
              <w:rPr>
                <w:rFonts w:cs="Tahoma"/>
                <w:sz w:val="22"/>
              </w:rPr>
            </w:pPr>
            <w:r>
              <w:rPr>
                <w:rFonts w:cs="Tahoma"/>
                <w:sz w:val="22"/>
              </w:rPr>
              <w:t>87-90</w:t>
            </w:r>
          </w:p>
        </w:tc>
        <w:tc>
          <w:tcPr>
            <w:tcW w:w="900" w:type="dxa"/>
            <w:shd w:val="clear" w:color="auto" w:fill="auto"/>
          </w:tcPr>
          <w:p w14:paraId="090C6C09"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3C994466" w14:textId="77777777" w:rsidR="006C38E7" w:rsidRDefault="006C38E7" w:rsidP="006C38E7">
            <w:pPr>
              <w:spacing w:line="240" w:lineRule="auto"/>
              <w:rPr>
                <w:rFonts w:cs="Tahoma"/>
                <w:szCs w:val="20"/>
              </w:rPr>
            </w:pPr>
            <w:r>
              <w:rPr>
                <w:rFonts w:cs="Tahoma"/>
                <w:szCs w:val="20"/>
              </w:rPr>
              <w:t>3.0</w:t>
            </w:r>
          </w:p>
        </w:tc>
      </w:tr>
      <w:tr w:rsidR="006C38E7" w:rsidRPr="00521B61" w14:paraId="12576955" w14:textId="77777777" w:rsidTr="00844691">
        <w:trPr>
          <w:jc w:val="center"/>
        </w:trPr>
        <w:tc>
          <w:tcPr>
            <w:tcW w:w="1353" w:type="dxa"/>
            <w:shd w:val="clear" w:color="auto" w:fill="auto"/>
          </w:tcPr>
          <w:p w14:paraId="1A70B02F" w14:textId="77777777" w:rsidR="006C38E7" w:rsidRPr="003823C3" w:rsidRDefault="006C38E7" w:rsidP="006C38E7">
            <w:pPr>
              <w:rPr>
                <w:rFonts w:cs="Tahoma"/>
                <w:sz w:val="22"/>
              </w:rPr>
            </w:pPr>
            <w:r>
              <w:rPr>
                <w:rFonts w:cs="Tahoma"/>
                <w:sz w:val="22"/>
              </w:rPr>
              <w:t>84-87</w:t>
            </w:r>
          </w:p>
        </w:tc>
        <w:tc>
          <w:tcPr>
            <w:tcW w:w="900" w:type="dxa"/>
            <w:shd w:val="clear" w:color="auto" w:fill="auto"/>
          </w:tcPr>
          <w:p w14:paraId="7023B391"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24ACC03B" w14:textId="77777777" w:rsidR="006C38E7" w:rsidRDefault="006C38E7" w:rsidP="006C38E7">
            <w:pPr>
              <w:spacing w:line="240" w:lineRule="auto"/>
              <w:rPr>
                <w:rFonts w:cs="Tahoma"/>
                <w:szCs w:val="20"/>
              </w:rPr>
            </w:pPr>
            <w:r>
              <w:rPr>
                <w:rFonts w:cs="Tahoma"/>
                <w:szCs w:val="20"/>
              </w:rPr>
              <w:t>2.7</w:t>
            </w:r>
          </w:p>
        </w:tc>
      </w:tr>
      <w:tr w:rsidR="006C38E7" w:rsidRPr="00521B61" w14:paraId="6571C5BC" w14:textId="77777777" w:rsidTr="00844691">
        <w:trPr>
          <w:jc w:val="center"/>
        </w:trPr>
        <w:tc>
          <w:tcPr>
            <w:tcW w:w="1353" w:type="dxa"/>
            <w:shd w:val="clear" w:color="auto" w:fill="auto"/>
          </w:tcPr>
          <w:p w14:paraId="3E70A9CF" w14:textId="77777777" w:rsidR="006C38E7" w:rsidRPr="003823C3" w:rsidRDefault="006C38E7" w:rsidP="006C38E7">
            <w:pPr>
              <w:rPr>
                <w:rFonts w:cs="Tahoma"/>
                <w:sz w:val="22"/>
              </w:rPr>
            </w:pPr>
            <w:r>
              <w:rPr>
                <w:rFonts w:cs="Tahoma"/>
                <w:sz w:val="22"/>
              </w:rPr>
              <w:t>81-84</w:t>
            </w:r>
          </w:p>
        </w:tc>
        <w:tc>
          <w:tcPr>
            <w:tcW w:w="900" w:type="dxa"/>
            <w:shd w:val="clear" w:color="auto" w:fill="auto"/>
          </w:tcPr>
          <w:p w14:paraId="032F526E"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4979EC79" w14:textId="77777777" w:rsidR="006C38E7" w:rsidRDefault="006C38E7" w:rsidP="006C38E7">
            <w:pPr>
              <w:spacing w:line="240" w:lineRule="auto"/>
              <w:rPr>
                <w:rFonts w:cs="Tahoma"/>
                <w:szCs w:val="20"/>
              </w:rPr>
            </w:pPr>
            <w:r>
              <w:rPr>
                <w:rFonts w:cs="Tahoma"/>
                <w:szCs w:val="20"/>
              </w:rPr>
              <w:t>2.4</w:t>
            </w:r>
          </w:p>
        </w:tc>
      </w:tr>
      <w:tr w:rsidR="006C38E7" w:rsidRPr="00521B61" w14:paraId="77FF1920" w14:textId="77777777" w:rsidTr="00844691">
        <w:trPr>
          <w:jc w:val="center"/>
        </w:trPr>
        <w:tc>
          <w:tcPr>
            <w:tcW w:w="1353" w:type="dxa"/>
            <w:shd w:val="clear" w:color="auto" w:fill="auto"/>
          </w:tcPr>
          <w:p w14:paraId="58BB9DBA" w14:textId="77777777" w:rsidR="006C38E7" w:rsidRPr="003823C3" w:rsidRDefault="006C38E7" w:rsidP="006C38E7">
            <w:pPr>
              <w:rPr>
                <w:rFonts w:cs="Tahoma"/>
                <w:sz w:val="22"/>
              </w:rPr>
            </w:pPr>
            <w:r>
              <w:rPr>
                <w:rFonts w:cs="Tahoma"/>
                <w:sz w:val="22"/>
              </w:rPr>
              <w:lastRenderedPageBreak/>
              <w:t>78-81</w:t>
            </w:r>
          </w:p>
        </w:tc>
        <w:tc>
          <w:tcPr>
            <w:tcW w:w="900" w:type="dxa"/>
            <w:shd w:val="clear" w:color="auto" w:fill="auto"/>
          </w:tcPr>
          <w:p w14:paraId="309EE002"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5A0474BB" w14:textId="77777777" w:rsidR="006C38E7" w:rsidRDefault="006C38E7" w:rsidP="006C38E7">
            <w:pPr>
              <w:spacing w:line="240" w:lineRule="auto"/>
              <w:rPr>
                <w:rFonts w:cs="Tahoma"/>
                <w:szCs w:val="20"/>
              </w:rPr>
            </w:pPr>
            <w:r>
              <w:rPr>
                <w:rFonts w:cs="Tahoma"/>
                <w:szCs w:val="20"/>
              </w:rPr>
              <w:t>2.0</w:t>
            </w:r>
          </w:p>
        </w:tc>
      </w:tr>
      <w:tr w:rsidR="006C38E7" w:rsidRPr="00521B61" w14:paraId="6D213B66" w14:textId="77777777" w:rsidTr="00844691">
        <w:trPr>
          <w:jc w:val="center"/>
        </w:trPr>
        <w:tc>
          <w:tcPr>
            <w:tcW w:w="1353" w:type="dxa"/>
            <w:shd w:val="clear" w:color="auto" w:fill="auto"/>
          </w:tcPr>
          <w:p w14:paraId="1073CFBF" w14:textId="77777777" w:rsidR="006C38E7" w:rsidRPr="003823C3" w:rsidRDefault="006C38E7" w:rsidP="006C38E7">
            <w:pPr>
              <w:rPr>
                <w:rFonts w:cs="Tahoma"/>
                <w:sz w:val="22"/>
              </w:rPr>
            </w:pPr>
            <w:r>
              <w:rPr>
                <w:rFonts w:cs="Tahoma"/>
                <w:sz w:val="22"/>
              </w:rPr>
              <w:t>75-78</w:t>
            </w:r>
          </w:p>
        </w:tc>
        <w:tc>
          <w:tcPr>
            <w:tcW w:w="900" w:type="dxa"/>
            <w:shd w:val="clear" w:color="auto" w:fill="auto"/>
          </w:tcPr>
          <w:p w14:paraId="45F59440"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79452820" w14:textId="77777777" w:rsidR="006C38E7" w:rsidRDefault="006C38E7" w:rsidP="006C38E7">
            <w:pPr>
              <w:spacing w:line="240" w:lineRule="auto"/>
              <w:rPr>
                <w:rFonts w:cs="Tahoma"/>
                <w:szCs w:val="20"/>
              </w:rPr>
            </w:pPr>
            <w:r>
              <w:rPr>
                <w:rFonts w:cs="Tahoma"/>
                <w:szCs w:val="20"/>
              </w:rPr>
              <w:t>1.7</w:t>
            </w:r>
          </w:p>
        </w:tc>
      </w:tr>
      <w:tr w:rsidR="006C38E7" w:rsidRPr="00521B61" w14:paraId="66848293" w14:textId="77777777" w:rsidTr="00844691">
        <w:trPr>
          <w:jc w:val="center"/>
        </w:trPr>
        <w:tc>
          <w:tcPr>
            <w:tcW w:w="1353" w:type="dxa"/>
            <w:shd w:val="clear" w:color="auto" w:fill="auto"/>
          </w:tcPr>
          <w:p w14:paraId="2EF0A7ED" w14:textId="77777777" w:rsidR="006C38E7" w:rsidRPr="003823C3" w:rsidRDefault="006C38E7" w:rsidP="006C38E7">
            <w:pPr>
              <w:rPr>
                <w:rFonts w:cs="Tahoma"/>
                <w:sz w:val="22"/>
              </w:rPr>
            </w:pPr>
            <w:r>
              <w:rPr>
                <w:rFonts w:cs="Tahoma"/>
                <w:sz w:val="22"/>
              </w:rPr>
              <w:t>73-75</w:t>
            </w:r>
          </w:p>
        </w:tc>
        <w:tc>
          <w:tcPr>
            <w:tcW w:w="900" w:type="dxa"/>
            <w:shd w:val="clear" w:color="auto" w:fill="auto"/>
          </w:tcPr>
          <w:p w14:paraId="6166E9EA"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4428A666" w14:textId="77777777" w:rsidR="006C38E7" w:rsidRDefault="006C38E7" w:rsidP="006C38E7">
            <w:pPr>
              <w:spacing w:line="240" w:lineRule="auto"/>
              <w:rPr>
                <w:rFonts w:cs="Tahoma"/>
                <w:szCs w:val="20"/>
              </w:rPr>
            </w:pPr>
            <w:r>
              <w:rPr>
                <w:rFonts w:cs="Tahoma"/>
                <w:szCs w:val="20"/>
              </w:rPr>
              <w:t>1.4</w:t>
            </w:r>
          </w:p>
        </w:tc>
      </w:tr>
      <w:tr w:rsidR="006C38E7" w:rsidRPr="00521B61" w14:paraId="3F4727BD" w14:textId="77777777" w:rsidTr="00844691">
        <w:trPr>
          <w:jc w:val="center"/>
        </w:trPr>
        <w:tc>
          <w:tcPr>
            <w:tcW w:w="1353" w:type="dxa"/>
            <w:shd w:val="clear" w:color="auto" w:fill="auto"/>
          </w:tcPr>
          <w:p w14:paraId="04923459" w14:textId="77777777" w:rsidR="006C38E7" w:rsidRPr="003823C3" w:rsidRDefault="006C38E7" w:rsidP="006C38E7">
            <w:pPr>
              <w:rPr>
                <w:rFonts w:cs="Tahoma"/>
                <w:sz w:val="22"/>
              </w:rPr>
            </w:pPr>
            <w:r>
              <w:rPr>
                <w:rFonts w:cs="Tahoma"/>
                <w:sz w:val="22"/>
              </w:rPr>
              <w:t>70-73</w:t>
            </w:r>
          </w:p>
        </w:tc>
        <w:tc>
          <w:tcPr>
            <w:tcW w:w="900" w:type="dxa"/>
            <w:shd w:val="clear" w:color="auto" w:fill="auto"/>
          </w:tcPr>
          <w:p w14:paraId="77EEDFDE"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220F47EE" w14:textId="77777777" w:rsidR="006C38E7" w:rsidRDefault="006C38E7" w:rsidP="006C38E7">
            <w:pPr>
              <w:spacing w:line="240" w:lineRule="auto"/>
              <w:rPr>
                <w:rFonts w:cs="Tahoma"/>
                <w:szCs w:val="20"/>
              </w:rPr>
            </w:pPr>
            <w:r>
              <w:rPr>
                <w:rFonts w:cs="Tahoma"/>
                <w:szCs w:val="20"/>
              </w:rPr>
              <w:t>1.0</w:t>
            </w:r>
          </w:p>
        </w:tc>
      </w:tr>
      <w:tr w:rsidR="006C38E7" w:rsidRPr="00521B61" w14:paraId="16D7D4BC" w14:textId="77777777" w:rsidTr="00844691">
        <w:trPr>
          <w:jc w:val="center"/>
        </w:trPr>
        <w:tc>
          <w:tcPr>
            <w:tcW w:w="1353" w:type="dxa"/>
            <w:shd w:val="clear" w:color="auto" w:fill="auto"/>
          </w:tcPr>
          <w:p w14:paraId="27CC52EE" w14:textId="77777777" w:rsidR="006C38E7" w:rsidRPr="003823C3" w:rsidRDefault="006C38E7" w:rsidP="006C38E7">
            <w:pPr>
              <w:rPr>
                <w:rFonts w:cs="Tahoma"/>
                <w:sz w:val="22"/>
              </w:rPr>
            </w:pPr>
            <w:r>
              <w:rPr>
                <w:rFonts w:cs="Tahoma"/>
                <w:sz w:val="22"/>
              </w:rPr>
              <w:t>&lt;70</w:t>
            </w:r>
          </w:p>
        </w:tc>
        <w:tc>
          <w:tcPr>
            <w:tcW w:w="900" w:type="dxa"/>
            <w:shd w:val="clear" w:color="auto" w:fill="auto"/>
          </w:tcPr>
          <w:p w14:paraId="6496430F" w14:textId="77777777" w:rsidR="006C38E7" w:rsidRPr="00521B61" w:rsidRDefault="006C38E7" w:rsidP="006C38E7">
            <w:pPr>
              <w:spacing w:line="240" w:lineRule="auto"/>
              <w:rPr>
                <w:rFonts w:cs="Tahoma"/>
                <w:szCs w:val="20"/>
              </w:rPr>
            </w:pPr>
            <w:r>
              <w:rPr>
                <w:rFonts w:cs="Tahoma"/>
                <w:szCs w:val="20"/>
              </w:rPr>
              <w:t xml:space="preserve">   </w:t>
            </w:r>
            <w:r w:rsidRPr="00521B61">
              <w:rPr>
                <w:rFonts w:cs="Tahoma"/>
                <w:szCs w:val="20"/>
              </w:rPr>
              <w:t>F</w:t>
            </w:r>
          </w:p>
        </w:tc>
        <w:tc>
          <w:tcPr>
            <w:tcW w:w="1017" w:type="dxa"/>
          </w:tcPr>
          <w:p w14:paraId="7397850A" w14:textId="77777777" w:rsidR="006C38E7" w:rsidRDefault="006C38E7" w:rsidP="006C38E7">
            <w:pPr>
              <w:spacing w:line="240" w:lineRule="auto"/>
              <w:rPr>
                <w:rFonts w:cs="Tahoma"/>
                <w:szCs w:val="20"/>
              </w:rPr>
            </w:pPr>
            <w:r>
              <w:rPr>
                <w:rFonts w:cs="Tahoma"/>
                <w:szCs w:val="20"/>
              </w:rPr>
              <w:t>0.0</w:t>
            </w:r>
          </w:p>
        </w:tc>
      </w:tr>
    </w:tbl>
    <w:p w14:paraId="7108ECC3" w14:textId="74D93F16" w:rsidR="00FC40AD" w:rsidRDefault="00FC40AD" w:rsidP="00FC40AD">
      <w:pPr>
        <w:spacing w:line="240" w:lineRule="auto"/>
        <w:rPr>
          <w:rFonts w:cs="Tahoma"/>
          <w:szCs w:val="20"/>
        </w:rPr>
      </w:pPr>
    </w:p>
    <w:p w14:paraId="4D561E09" w14:textId="77777777" w:rsidR="00D47204" w:rsidRPr="00C47C10" w:rsidRDefault="00D47204" w:rsidP="00FC40AD">
      <w:pPr>
        <w:spacing w:line="240" w:lineRule="auto"/>
        <w:rPr>
          <w:rFonts w:cs="Tahoma"/>
          <w:szCs w:val="20"/>
        </w:rPr>
      </w:pPr>
    </w:p>
    <w:p w14:paraId="7E6FE514" w14:textId="77777777" w:rsidR="00E502D8" w:rsidRDefault="00E502D8" w:rsidP="00E502D8">
      <w:pPr>
        <w:pStyle w:val="Heading2"/>
      </w:pPr>
      <w:r>
        <w:t>Course Policies</w:t>
      </w:r>
    </w:p>
    <w:p w14:paraId="25B4345E" w14:textId="77777777" w:rsidR="00E502D8" w:rsidRDefault="00E502D8" w:rsidP="00E502D8">
      <w:pPr>
        <w:pStyle w:val="Heading3"/>
        <w:spacing w:line="240" w:lineRule="auto"/>
      </w:pPr>
      <w:r>
        <w:t>Attendance Policy</w:t>
      </w:r>
    </w:p>
    <w:p w14:paraId="2CF8271D" w14:textId="77777777" w:rsidR="00D47204" w:rsidRDefault="00D47204" w:rsidP="00D47204">
      <w:pPr>
        <w:pStyle w:val="indent"/>
        <w:spacing w:line="240" w:lineRule="auto"/>
        <w:ind w:left="0"/>
      </w:pPr>
      <w:r>
        <w:t>Regular attendance is a key to success in the course. Please refer to the Attendance Policy outlined in the Catalog for full details of the SWU policy on attendance.</w:t>
      </w:r>
    </w:p>
    <w:p w14:paraId="47013FC7" w14:textId="77777777" w:rsidR="00D47204" w:rsidRDefault="00D47204" w:rsidP="00D47204">
      <w:pPr>
        <w:pStyle w:val="indent"/>
        <w:spacing w:line="240" w:lineRule="auto"/>
      </w:pPr>
    </w:p>
    <w:p w14:paraId="3AF10F68" w14:textId="7BD15A6F" w:rsidR="00E502D8" w:rsidRDefault="00D47204" w:rsidP="00D47204">
      <w:pPr>
        <w:pStyle w:val="indent"/>
        <w:spacing w:before="0" w:after="0" w:line="240" w:lineRule="auto"/>
        <w:ind w:left="0"/>
      </w:pPr>
      <w:r>
        <w:t>Online attendance is based on completion of at least one designated assignment by the due date/time posted within the course site for each session.  Online activities may include assignments, readings, discussion forums, and assessments (e.g. quizzes).</w:t>
      </w:r>
    </w:p>
    <w:p w14:paraId="29874E62" w14:textId="77777777" w:rsidR="00D47204" w:rsidRDefault="00D47204" w:rsidP="00D47204">
      <w:pPr>
        <w:pStyle w:val="indent"/>
        <w:spacing w:before="0" w:after="0" w:line="240" w:lineRule="auto"/>
        <w:ind w:left="0"/>
      </w:pPr>
    </w:p>
    <w:p w14:paraId="4CE8DA4E" w14:textId="77777777" w:rsidR="000039A7" w:rsidRDefault="000039A7" w:rsidP="000039A7">
      <w:pPr>
        <w:pStyle w:val="Heading3"/>
        <w:spacing w:line="240" w:lineRule="auto"/>
      </w:pPr>
      <w:r>
        <w:t>Late Assignment Policy</w:t>
      </w:r>
    </w:p>
    <w:p w14:paraId="1C0BADCB" w14:textId="77777777" w:rsidR="009A7E3A" w:rsidRDefault="009A7E3A" w:rsidP="009A7E3A">
      <w:pPr>
        <w:pStyle w:val="Heading4"/>
      </w:pPr>
      <w:r>
        <w:t>Assignments</w:t>
      </w:r>
    </w:p>
    <w:p w14:paraId="0716F4DB" w14:textId="77777777" w:rsidR="009A7E3A" w:rsidRDefault="009A7E3A" w:rsidP="009A7E3A">
      <w:r>
        <w:t xml:space="preserve">Meeting assigned due dates is critical for demonstrating progress and ensuring appropriate time for instructor feedback on assignments. Students are expected to submit their assignments on or before the due date. Assignments are due by midnight on the days specified. </w:t>
      </w:r>
    </w:p>
    <w:p w14:paraId="16BC1A34" w14:textId="77777777" w:rsidR="009A7E3A" w:rsidRDefault="009A7E3A" w:rsidP="009A7E3A"/>
    <w:p w14:paraId="4945E98C" w14:textId="7EFCA8A7" w:rsidR="009A7E3A" w:rsidRDefault="009A7E3A" w:rsidP="009A7E3A">
      <w:r>
        <w:t>In the case of extenuating circumstances (such as hospitalization, childbirth, major accident, injury, military obligation, or bereavement), it is the responsibility of students to contact the instructor as soon as practicable. The instructor may waive the penalty for late work if the circumstances are justified.</w:t>
      </w:r>
    </w:p>
    <w:p w14:paraId="1A1D8397" w14:textId="77777777" w:rsidR="009A7E3A" w:rsidRDefault="009A7E3A" w:rsidP="009A7E3A"/>
    <w:p w14:paraId="794E08A0" w14:textId="77777777" w:rsidR="009A7E3A" w:rsidRDefault="009A7E3A" w:rsidP="009A7E3A">
      <w:r>
        <w:t>Students must submit final course assignments no later than the last day of the term. No assignments are accepted after the last day of the term.</w:t>
      </w:r>
    </w:p>
    <w:p w14:paraId="41ADDAFC" w14:textId="77777777" w:rsidR="009A7E3A" w:rsidRDefault="009A7E3A" w:rsidP="009A7E3A">
      <w:pPr>
        <w:pStyle w:val="Heading4"/>
      </w:pPr>
      <w:r>
        <w:t>Discussions</w:t>
      </w:r>
    </w:p>
    <w:p w14:paraId="45B6CEF0" w14:textId="46D6DB65" w:rsidR="009A7E3A" w:rsidRDefault="009A7E3A" w:rsidP="009A7E3A">
      <w:r>
        <w:t>Students must submit discussion board postings during the time frame indicated.</w:t>
      </w:r>
    </w:p>
    <w:p w14:paraId="3BAB8AB5" w14:textId="77777777" w:rsidR="00D47204" w:rsidRDefault="00D47204" w:rsidP="009A7E3A"/>
    <w:p w14:paraId="112D9B6A" w14:textId="77777777" w:rsidR="00E502D8" w:rsidRDefault="00E502D8" w:rsidP="00371051">
      <w:pPr>
        <w:pStyle w:val="Heading3"/>
      </w:pPr>
      <w:r>
        <w:t>Communication</w:t>
      </w:r>
    </w:p>
    <w:p w14:paraId="1DAFFD43" w14:textId="77777777" w:rsidR="00E502D8" w:rsidRDefault="00E502D8" w:rsidP="00E502D8">
      <w:pPr>
        <w:spacing w:line="240" w:lineRule="auto"/>
        <w:rPr>
          <w:rFonts w:cs="Tahoma"/>
          <w:szCs w:val="20"/>
        </w:rPr>
      </w:pPr>
      <w:r>
        <w:rPr>
          <w:rFonts w:cs="Tahoma"/>
          <w:szCs w:val="20"/>
        </w:rPr>
        <w:t>The course site (Canvas)</w:t>
      </w:r>
      <w:r w:rsidRPr="0062252E">
        <w:rPr>
          <w:rFonts w:cs="Tahoma"/>
          <w:szCs w:val="20"/>
        </w:rPr>
        <w:t xml:space="preserve"> and SWU email are the primary tools for class communication, assignments, handouts, etc. </w:t>
      </w:r>
      <w:r>
        <w:rPr>
          <w:rFonts w:cs="Tahoma"/>
          <w:szCs w:val="20"/>
        </w:rPr>
        <w:t>A</w:t>
      </w:r>
      <w:r w:rsidRPr="0062252E">
        <w:rPr>
          <w:rFonts w:cs="Tahoma"/>
          <w:szCs w:val="20"/>
        </w:rPr>
        <w:t xml:space="preserve">ll participants must have access to </w:t>
      </w:r>
      <w:r>
        <w:rPr>
          <w:rFonts w:cs="Tahoma"/>
          <w:szCs w:val="20"/>
        </w:rPr>
        <w:t>the course site</w:t>
      </w:r>
      <w:r w:rsidRPr="0062252E">
        <w:rPr>
          <w:rFonts w:cs="Tahoma"/>
          <w:szCs w:val="20"/>
        </w:rPr>
        <w:t xml:space="preserve"> and SWU e-mail</w:t>
      </w:r>
      <w:r>
        <w:rPr>
          <w:rFonts w:cs="Tahoma"/>
          <w:szCs w:val="20"/>
        </w:rPr>
        <w:t xml:space="preserve"> and are</w:t>
      </w:r>
      <w:r w:rsidRPr="0062252E">
        <w:rPr>
          <w:rFonts w:cs="Tahoma"/>
          <w:szCs w:val="20"/>
        </w:rPr>
        <w:t xml:space="preserve"> expected to access </w:t>
      </w:r>
      <w:r>
        <w:rPr>
          <w:rFonts w:cs="Tahoma"/>
          <w:szCs w:val="20"/>
        </w:rPr>
        <w:t>them on a daily basis.</w:t>
      </w:r>
    </w:p>
    <w:p w14:paraId="0393BF52" w14:textId="77777777" w:rsidR="00E502D8" w:rsidRDefault="00E502D8" w:rsidP="00E502D8">
      <w:pPr>
        <w:spacing w:line="240" w:lineRule="auto"/>
        <w:rPr>
          <w:rFonts w:cs="Tahoma"/>
          <w:szCs w:val="20"/>
        </w:rPr>
      </w:pPr>
    </w:p>
    <w:p w14:paraId="561F674F" w14:textId="3DDF002F" w:rsidR="00E502D8" w:rsidRDefault="00E502D8" w:rsidP="00E502D8">
      <w:pPr>
        <w:spacing w:line="240" w:lineRule="auto"/>
      </w:pPr>
      <w:r w:rsidRPr="0062252E">
        <w:t xml:space="preserve">While it is important to maintain good communication with </w:t>
      </w:r>
      <w:r>
        <w:t>the</w:t>
      </w:r>
      <w:r w:rsidRPr="0062252E">
        <w:t xml:space="preserve"> instructor, Internet connectivity problems and home computer problems are not considered adequate excuses for missing assigned classwork.</w:t>
      </w:r>
    </w:p>
    <w:p w14:paraId="5AF9F5DB" w14:textId="77777777" w:rsidR="00D47204" w:rsidRPr="008A0BA3" w:rsidRDefault="00D47204" w:rsidP="00E502D8">
      <w:pPr>
        <w:spacing w:line="240" w:lineRule="auto"/>
        <w:rPr>
          <w:rFonts w:cs="Tahoma"/>
          <w:szCs w:val="20"/>
        </w:rPr>
      </w:pPr>
    </w:p>
    <w:p w14:paraId="0DCB1639" w14:textId="77777777" w:rsidR="00E502D8" w:rsidRPr="00371051" w:rsidRDefault="00E502D8" w:rsidP="00371051">
      <w:pPr>
        <w:pStyle w:val="Heading3"/>
      </w:pPr>
      <w:r>
        <w:t>Technology Requirements</w:t>
      </w:r>
    </w:p>
    <w:p w14:paraId="432037FD" w14:textId="7B433FF0" w:rsidR="00E502D8" w:rsidRDefault="00E502D8" w:rsidP="00E502D8">
      <w:pPr>
        <w:spacing w:line="240" w:lineRule="auto"/>
        <w:rPr>
          <w:rFonts w:cs="Tahoma"/>
          <w:szCs w:val="20"/>
        </w:rPr>
      </w:pPr>
      <w:r w:rsidRPr="0062252E">
        <w:rPr>
          <w:rFonts w:cs="Tahoma"/>
          <w:szCs w:val="20"/>
        </w:rPr>
        <w:t xml:space="preserve">To be successful in this course, all participants are expected to </w:t>
      </w:r>
      <w:r>
        <w:rPr>
          <w:rFonts w:cs="Tahoma"/>
          <w:szCs w:val="20"/>
        </w:rPr>
        <w:t xml:space="preserve">ensure their technology equipment meets the </w:t>
      </w:r>
      <w:hyperlink r:id="rId9" w:history="1">
        <w:r w:rsidRPr="00F847B4">
          <w:rPr>
            <w:rStyle w:val="Hyperlink"/>
            <w:rFonts w:cs="Tahoma"/>
            <w:szCs w:val="20"/>
          </w:rPr>
          <w:t>recommendations</w:t>
        </w:r>
      </w:hyperlink>
      <w:r>
        <w:rPr>
          <w:rFonts w:cs="Tahoma"/>
          <w:szCs w:val="20"/>
        </w:rPr>
        <w:t xml:space="preserve"> provided by SWU’s Technology Services.</w:t>
      </w:r>
    </w:p>
    <w:p w14:paraId="4610AFFD" w14:textId="77777777" w:rsidR="00E502D8" w:rsidRDefault="00E502D8" w:rsidP="00E502D8">
      <w:pPr>
        <w:spacing w:line="240" w:lineRule="auto"/>
        <w:rPr>
          <w:rFonts w:cs="Tahoma"/>
          <w:szCs w:val="20"/>
        </w:rPr>
      </w:pPr>
    </w:p>
    <w:p w14:paraId="093C56E7" w14:textId="77777777" w:rsidR="00E502D8" w:rsidRPr="00371051" w:rsidRDefault="00E502D8" w:rsidP="00371051">
      <w:pPr>
        <w:spacing w:line="240" w:lineRule="auto"/>
        <w:rPr>
          <w:rFonts w:cs="Tahoma"/>
          <w:szCs w:val="20"/>
        </w:rPr>
      </w:pPr>
      <w:r>
        <w:rPr>
          <w:rFonts w:cs="Tahoma"/>
          <w:szCs w:val="20"/>
        </w:rPr>
        <w:t xml:space="preserve">Students requiring technical support related to their courses or other SWU-provided technologies should </w:t>
      </w:r>
      <w:r w:rsidRPr="0062252E">
        <w:rPr>
          <w:rFonts w:cs="Tahoma"/>
          <w:szCs w:val="20"/>
        </w:rPr>
        <w:t>send an e-mail to helpdesk@swu.edu or call 864.644.5050.</w:t>
      </w:r>
    </w:p>
    <w:p w14:paraId="6ADE9529" w14:textId="77777777" w:rsidR="00E502D8" w:rsidRDefault="00E502D8" w:rsidP="00E502D8">
      <w:pPr>
        <w:pStyle w:val="Heading3"/>
        <w:spacing w:line="240" w:lineRule="auto"/>
      </w:pPr>
      <w:r>
        <w:lastRenderedPageBreak/>
        <w:t xml:space="preserve">Academic </w:t>
      </w:r>
      <w:r w:rsidR="00931C30">
        <w:t>Honesty</w:t>
      </w:r>
    </w:p>
    <w:p w14:paraId="780D3D67" w14:textId="77777777" w:rsidR="00E502D8" w:rsidRDefault="00E502D8" w:rsidP="00D355F8">
      <w:pPr>
        <w:pStyle w:val="indent"/>
        <w:spacing w:line="240" w:lineRule="auto"/>
        <w:ind w:left="0"/>
      </w:pPr>
      <w:r w:rsidRPr="00A965DA">
        <w:t xml:space="preserve">Honesty in all matters - including honesty in academic endeavors - is a valued principle at Southern Wesleyan University. </w:t>
      </w:r>
      <w:r w:rsidR="008F786E">
        <w:t xml:space="preserve">It is the expectation of the university that all those joining the academic program will act with integrity in all matters. </w:t>
      </w:r>
    </w:p>
    <w:p w14:paraId="2EF98DD5" w14:textId="2F16EC1C" w:rsidR="008F786E" w:rsidRDefault="008F786E" w:rsidP="00D355F8">
      <w:pPr>
        <w:pStyle w:val="indent"/>
        <w:spacing w:line="240" w:lineRule="auto"/>
        <w:ind w:left="0"/>
      </w:pPr>
      <w:r>
        <w:t>No forms of academic honesty will be tolerated. Students are encouraged to help each other maintain these high standards. All academic dishonesty should be reported to the faculty directly. Fac</w:t>
      </w:r>
      <w:r w:rsidR="00931C30">
        <w:t xml:space="preserve">ulty, upon evidence of academic dishonesty (cheating, plagiarism, or misuse of another’s intellectual property), either by voluntary confession, report of another student, or </w:t>
      </w:r>
      <w:proofErr w:type="gramStart"/>
      <w:r w:rsidR="00931C30">
        <w:t>on the basis of</w:t>
      </w:r>
      <w:proofErr w:type="gramEnd"/>
      <w:r w:rsidR="00931C30">
        <w:t xml:space="preserve"> work submitted, must follow </w:t>
      </w:r>
      <w:bookmarkStart w:id="0" w:name="_GoBack"/>
      <w:bookmarkEnd w:id="0"/>
      <w:r w:rsidR="00074AD9">
        <w:t>t</w:t>
      </w:r>
      <w:r w:rsidR="00931C30">
        <w:t xml:space="preserve">he procedure outlined in the Catalog (under </w:t>
      </w:r>
      <w:r w:rsidR="00931C30" w:rsidRPr="00931C30">
        <w:rPr>
          <w:i/>
        </w:rPr>
        <w:t>Academic Honesty</w:t>
      </w:r>
      <w:r w:rsidR="00931C30">
        <w:t xml:space="preserve">). This includes but is not limited to a zero for the work involved, 10% course grade reduction, or a failing grade for the course. Unresolved cases may be appealed using the Appeal Process outlined in the Catalog (under </w:t>
      </w:r>
      <w:r w:rsidR="00931C30">
        <w:rPr>
          <w:i/>
        </w:rPr>
        <w:t>Academic Honesty</w:t>
      </w:r>
      <w:r w:rsidR="00931C30">
        <w:t>).</w:t>
      </w:r>
    </w:p>
    <w:p w14:paraId="304A9FAE" w14:textId="77777777" w:rsidR="00D47204" w:rsidRDefault="00D47204" w:rsidP="00D355F8">
      <w:pPr>
        <w:pStyle w:val="indent"/>
        <w:spacing w:line="240" w:lineRule="auto"/>
        <w:ind w:left="0"/>
      </w:pPr>
    </w:p>
    <w:p w14:paraId="36C2F022" w14:textId="77777777" w:rsidR="00E502D8" w:rsidRDefault="00E502D8" w:rsidP="00E502D8">
      <w:pPr>
        <w:pStyle w:val="Heading3"/>
        <w:spacing w:line="240" w:lineRule="auto"/>
      </w:pPr>
      <w:r>
        <w:t>Accommodations for Students with Disabilities</w:t>
      </w:r>
    </w:p>
    <w:p w14:paraId="6F831454" w14:textId="77777777" w:rsidR="00527255" w:rsidRDefault="007A5172" w:rsidP="00104034">
      <w:r>
        <w:t xml:space="preserve">Southern Wesleyan University is committed to providing equitable access to learning opportunities for all students. </w:t>
      </w:r>
      <w:r w:rsidR="00E502D8">
        <w:t xml:space="preserve">Accommodations can be made for students with disabilities, as outlined in “Services for Students with Disabilities,” found in mySWU’s Student tab under The Learning Center.  Any student desiring accommodations must send the request and all documentation to the </w:t>
      </w:r>
      <w:r w:rsidR="00931C30">
        <w:t>Academic</w:t>
      </w:r>
      <w:r w:rsidR="00E502D8">
        <w:t xml:space="preserve"> Coordinator at the learning </w:t>
      </w:r>
      <w:r w:rsidR="00931C30">
        <w:t>site</w:t>
      </w:r>
      <w:r w:rsidR="00E502D8">
        <w:t xml:space="preserve"> where he/she attends classes.  The </w:t>
      </w:r>
      <w:r w:rsidR="00931C30">
        <w:t>Academic</w:t>
      </w:r>
      <w:r w:rsidR="00E502D8">
        <w:t xml:space="preserve"> Coordinator will forward the materials to </w:t>
      </w:r>
      <w:r w:rsidR="00D355F8">
        <w:t>the</w:t>
      </w:r>
      <w:r w:rsidR="00E502D8">
        <w:t xml:space="preserve"> </w:t>
      </w:r>
      <w:r w:rsidR="00D355F8">
        <w:t>Student Success Coordinator</w:t>
      </w:r>
      <w:r w:rsidR="00E502D8">
        <w:t xml:space="preserve"> for Southern Wesleyan University.</w:t>
      </w:r>
      <w:r w:rsidR="00931C30">
        <w:br/>
      </w:r>
    </w:p>
    <w:sectPr w:rsidR="00527255" w:rsidSect="00104034">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668E" w14:textId="77777777" w:rsidR="0082551B" w:rsidRDefault="0082551B" w:rsidP="009356BA">
      <w:pPr>
        <w:spacing w:line="240" w:lineRule="auto"/>
      </w:pPr>
      <w:r>
        <w:separator/>
      </w:r>
    </w:p>
  </w:endnote>
  <w:endnote w:type="continuationSeparator" w:id="0">
    <w:p w14:paraId="648707A6" w14:textId="77777777" w:rsidR="0082551B" w:rsidRDefault="0082551B" w:rsidP="00935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18EB" w14:textId="77777777" w:rsidR="0082551B" w:rsidRDefault="0082551B" w:rsidP="009356BA">
      <w:pPr>
        <w:spacing w:line="240" w:lineRule="auto"/>
      </w:pPr>
      <w:r>
        <w:separator/>
      </w:r>
    </w:p>
  </w:footnote>
  <w:footnote w:type="continuationSeparator" w:id="0">
    <w:p w14:paraId="46928EE1" w14:textId="77777777" w:rsidR="0082551B" w:rsidRDefault="0082551B" w:rsidP="00935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8A1A" w14:textId="77777777" w:rsidR="00104034" w:rsidRDefault="00104034" w:rsidP="00104034">
    <w:pPr>
      <w:pStyle w:val="Header"/>
      <w:jc w:val="center"/>
    </w:pPr>
    <w:r>
      <w:rPr>
        <w:noProof/>
      </w:rPr>
      <w:drawing>
        <wp:inline distT="0" distB="0" distL="0" distR="0" wp14:anchorId="4A074C80" wp14:editId="150EB25B">
          <wp:extent cx="1822708" cy="72847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U Wordmark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708" cy="728473"/>
                  </a:xfrm>
                  <a:prstGeom prst="rect">
                    <a:avLst/>
                  </a:prstGeom>
                </pic:spPr>
              </pic:pic>
            </a:graphicData>
          </a:graphic>
        </wp:inline>
      </w:drawing>
    </w:r>
  </w:p>
  <w:p w14:paraId="2F1DFA89" w14:textId="77777777" w:rsidR="00104034" w:rsidRDefault="00104034" w:rsidP="00104034">
    <w:pPr>
      <w:pStyle w:val="Header"/>
      <w:jc w:val="center"/>
      <w:rPr>
        <w:rFonts w:cs="Arial"/>
        <w:color w:val="1E376D"/>
        <w:sz w:val="28"/>
        <w:szCs w:val="28"/>
      </w:rPr>
    </w:pPr>
  </w:p>
  <w:p w14:paraId="2C21339C" w14:textId="77777777" w:rsidR="00104034" w:rsidRDefault="00104034" w:rsidP="00104034">
    <w:pPr>
      <w:pStyle w:val="Header"/>
      <w:jc w:val="center"/>
      <w:rPr>
        <w:rFonts w:cs="Arial"/>
        <w:color w:val="1E376D"/>
        <w:sz w:val="28"/>
        <w:szCs w:val="28"/>
      </w:rPr>
    </w:pPr>
    <w:r w:rsidRPr="00B671F0">
      <w:rPr>
        <w:rFonts w:cs="Arial"/>
        <w:color w:val="1E376D"/>
        <w:sz w:val="28"/>
        <w:szCs w:val="28"/>
      </w:rPr>
      <w:t>Course Syllabus</w:t>
    </w:r>
  </w:p>
  <w:p w14:paraId="10C5B959" w14:textId="77777777" w:rsidR="00104034" w:rsidRPr="004816E1" w:rsidRDefault="00104034" w:rsidP="00104034">
    <w:pPr>
      <w:pStyle w:val="Header"/>
      <w:rPr>
        <w:rFonts w:cs="Arial"/>
        <w:color w:val="000000" w:themeColor="text1"/>
        <w:sz w:val="16"/>
        <w:szCs w:val="16"/>
      </w:rPr>
    </w:pPr>
    <w:r>
      <w:rPr>
        <w:rFonts w:cs="Arial"/>
        <w:color w:val="000000" w:themeColor="text1"/>
        <w:sz w:val="16"/>
        <w:szCs w:val="16"/>
      </w:rPr>
      <w:t>Version: ON MM.YY</w:t>
    </w:r>
  </w:p>
  <w:p w14:paraId="0C643E5D" w14:textId="77777777" w:rsidR="00516C14" w:rsidRDefault="0051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lowerLetter"/>
      <w:pStyle w:val="Quicka"/>
      <w:lvlText w:val="%1."/>
      <w:lvlJc w:val="left"/>
      <w:pPr>
        <w:tabs>
          <w:tab w:val="num" w:pos="2160"/>
        </w:tabs>
      </w:pPr>
      <w:rPr>
        <w:rFonts w:ascii="Baskerville Old Face" w:hAnsi="Baskerville Old Face" w:cs="Times New Roman"/>
        <w:sz w:val="24"/>
        <w:szCs w:val="24"/>
      </w:rPr>
    </w:lvl>
  </w:abstractNum>
  <w:abstractNum w:abstractNumId="1" w15:restartNumberingAfterBreak="0">
    <w:nsid w:val="0483521C"/>
    <w:multiLevelType w:val="hybridMultilevel"/>
    <w:tmpl w:val="95B4B538"/>
    <w:lvl w:ilvl="0" w:tplc="AC34B9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61C9"/>
    <w:multiLevelType w:val="hybridMultilevel"/>
    <w:tmpl w:val="456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07A1"/>
    <w:multiLevelType w:val="hybridMultilevel"/>
    <w:tmpl w:val="1DF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00E"/>
    <w:multiLevelType w:val="hybridMultilevel"/>
    <w:tmpl w:val="BB427046"/>
    <w:lvl w:ilvl="0" w:tplc="C9B235D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B3C"/>
    <w:multiLevelType w:val="hybridMultilevel"/>
    <w:tmpl w:val="77625D02"/>
    <w:lvl w:ilvl="0" w:tplc="8D741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E49AC"/>
    <w:multiLevelType w:val="hybridMultilevel"/>
    <w:tmpl w:val="5E0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1037"/>
    <w:multiLevelType w:val="hybridMultilevel"/>
    <w:tmpl w:val="5B16E28A"/>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712BB7"/>
    <w:multiLevelType w:val="hybridMultilevel"/>
    <w:tmpl w:val="87B0E636"/>
    <w:lvl w:ilvl="0" w:tplc="FFFFFFFF">
      <w:start w:val="1"/>
      <w:numFmt w:val="bullet"/>
      <w:pStyle w:val="Achieveme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65B5C"/>
    <w:multiLevelType w:val="singleLevel"/>
    <w:tmpl w:val="F3D0060A"/>
    <w:lvl w:ilvl="0">
      <w:start w:val="2"/>
      <w:numFmt w:val="decimal"/>
      <w:lvlText w:val="(%1)"/>
      <w:lvlJc w:val="left"/>
      <w:pPr>
        <w:tabs>
          <w:tab w:val="num" w:pos="360"/>
        </w:tabs>
        <w:ind w:left="360" w:hanging="360"/>
      </w:pPr>
      <w:rPr>
        <w:rFonts w:hint="default"/>
      </w:rPr>
    </w:lvl>
  </w:abstractNum>
  <w:abstractNum w:abstractNumId="10" w15:restartNumberingAfterBreak="0">
    <w:nsid w:val="263C1597"/>
    <w:multiLevelType w:val="hybridMultilevel"/>
    <w:tmpl w:val="16FE6530"/>
    <w:lvl w:ilvl="0" w:tplc="696EFC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61A92"/>
    <w:multiLevelType w:val="hybridMultilevel"/>
    <w:tmpl w:val="1D2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911F1"/>
    <w:multiLevelType w:val="hybridMultilevel"/>
    <w:tmpl w:val="D81E90A4"/>
    <w:lvl w:ilvl="0" w:tplc="0409000F">
      <w:start w:val="1"/>
      <w:numFmt w:val="decimal"/>
      <w:lvlText w:val="%1."/>
      <w:lvlJc w:val="left"/>
      <w:pPr>
        <w:ind w:left="261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2BA46404"/>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9009D"/>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268"/>
    <w:multiLevelType w:val="hybridMultilevel"/>
    <w:tmpl w:val="4E3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A0663"/>
    <w:multiLevelType w:val="hybridMultilevel"/>
    <w:tmpl w:val="63E853BE"/>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9081FBD"/>
    <w:multiLevelType w:val="hybridMultilevel"/>
    <w:tmpl w:val="BE2C3C40"/>
    <w:lvl w:ilvl="0" w:tplc="D48C75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8D5"/>
    <w:multiLevelType w:val="hybridMultilevel"/>
    <w:tmpl w:val="E604D064"/>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5E7E84"/>
    <w:multiLevelType w:val="hybridMultilevel"/>
    <w:tmpl w:val="C63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44BEA"/>
    <w:multiLevelType w:val="hybridMultilevel"/>
    <w:tmpl w:val="0406B47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53744A85"/>
    <w:multiLevelType w:val="hybridMultilevel"/>
    <w:tmpl w:val="278A29B4"/>
    <w:lvl w:ilvl="0" w:tplc="21D8A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57A41"/>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D27F2"/>
    <w:multiLevelType w:val="hybridMultilevel"/>
    <w:tmpl w:val="A008DBA4"/>
    <w:lvl w:ilvl="0" w:tplc="AB38085A">
      <w:start w:val="1"/>
      <w:numFmt w:val="decimal"/>
      <w:lvlText w:val="%1."/>
      <w:lvlJc w:val="left"/>
      <w:pPr>
        <w:tabs>
          <w:tab w:val="num" w:pos="720"/>
        </w:tabs>
        <w:ind w:left="720" w:hanging="360"/>
      </w:pPr>
      <w:rPr>
        <w:rFonts w:ascii="Tahoma" w:hAnsi="Tahoma" w:cs="Tahoma"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726CF"/>
    <w:multiLevelType w:val="hybridMultilevel"/>
    <w:tmpl w:val="076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C0644"/>
    <w:multiLevelType w:val="hybridMultilevel"/>
    <w:tmpl w:val="65C49A1E"/>
    <w:lvl w:ilvl="0" w:tplc="0409000F">
      <w:start w:val="1"/>
      <w:numFmt w:val="decimal"/>
      <w:lvlText w:val="%1."/>
      <w:lvlJc w:val="left"/>
      <w:pPr>
        <w:ind w:left="720" w:hanging="360"/>
      </w:pPr>
    </w:lvl>
    <w:lvl w:ilvl="1" w:tplc="1388B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10091"/>
    <w:multiLevelType w:val="hybridMultilevel"/>
    <w:tmpl w:val="F31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3BB1"/>
    <w:multiLevelType w:val="hybridMultilevel"/>
    <w:tmpl w:val="67AA591A"/>
    <w:lvl w:ilvl="0" w:tplc="0409000F">
      <w:start w:val="1"/>
      <w:numFmt w:val="decimal"/>
      <w:lvlText w:val="%1."/>
      <w:lvlJc w:val="left"/>
      <w:pPr>
        <w:tabs>
          <w:tab w:val="num" w:pos="2160"/>
        </w:tabs>
        <w:ind w:left="2160" w:hanging="360"/>
      </w:pPr>
      <w:rPr>
        <w:rFonts w:hint="default"/>
      </w:rPr>
    </w:lvl>
    <w:lvl w:ilvl="1" w:tplc="B5CE1CD4">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9C82E0E"/>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lvlOverride w:ilvl="0">
      <w:startOverride w:val="1"/>
      <w:lvl w:ilvl="0">
        <w:start w:val="1"/>
        <w:numFmt w:val="decimal"/>
        <w:pStyle w:val="Quicka"/>
        <w:lvlText w:val="%1."/>
        <w:lvlJc w:val="left"/>
      </w:lvl>
    </w:lvlOverride>
  </w:num>
  <w:num w:numId="4">
    <w:abstractNumId w:val="9"/>
  </w:num>
  <w:num w:numId="5">
    <w:abstractNumId w:val="19"/>
  </w:num>
  <w:num w:numId="6">
    <w:abstractNumId w:val="7"/>
  </w:num>
  <w:num w:numId="7">
    <w:abstractNumId w:val="18"/>
  </w:num>
  <w:num w:numId="8">
    <w:abstractNumId w:val="27"/>
  </w:num>
  <w:num w:numId="9">
    <w:abstractNumId w:val="16"/>
  </w:num>
  <w:num w:numId="10">
    <w:abstractNumId w:val="20"/>
  </w:num>
  <w:num w:numId="11">
    <w:abstractNumId w:val="24"/>
  </w:num>
  <w:num w:numId="12">
    <w:abstractNumId w:val="4"/>
  </w:num>
  <w:num w:numId="13">
    <w:abstractNumId w:val="3"/>
  </w:num>
  <w:num w:numId="14">
    <w:abstractNumId w:val="14"/>
  </w:num>
  <w:num w:numId="15">
    <w:abstractNumId w:val="10"/>
  </w:num>
  <w:num w:numId="16">
    <w:abstractNumId w:val="28"/>
  </w:num>
  <w:num w:numId="17">
    <w:abstractNumId w:val="1"/>
  </w:num>
  <w:num w:numId="18">
    <w:abstractNumId w:val="22"/>
  </w:num>
  <w:num w:numId="19">
    <w:abstractNumId w:val="21"/>
  </w:num>
  <w:num w:numId="20">
    <w:abstractNumId w:val="13"/>
  </w:num>
  <w:num w:numId="21">
    <w:abstractNumId w:val="17"/>
  </w:num>
  <w:num w:numId="22">
    <w:abstractNumId w:val="25"/>
  </w:num>
  <w:num w:numId="23">
    <w:abstractNumId w:val="5"/>
  </w:num>
  <w:num w:numId="24">
    <w:abstractNumId w:val="12"/>
  </w:num>
  <w:num w:numId="25">
    <w:abstractNumId w:val="26"/>
  </w:num>
  <w:num w:numId="26">
    <w:abstractNumId w:val="2"/>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MzU3szQxMTK0NDdV0lEKTi0uzszPAykwqgUAa4aaASwAAAA="/>
  </w:docVars>
  <w:rsids>
    <w:rsidRoot w:val="009356BA"/>
    <w:rsid w:val="000039A7"/>
    <w:rsid w:val="000119F1"/>
    <w:rsid w:val="00011A52"/>
    <w:rsid w:val="00012236"/>
    <w:rsid w:val="000142C4"/>
    <w:rsid w:val="00016990"/>
    <w:rsid w:val="0002184F"/>
    <w:rsid w:val="0002343E"/>
    <w:rsid w:val="00025F02"/>
    <w:rsid w:val="00035BB2"/>
    <w:rsid w:val="000439EC"/>
    <w:rsid w:val="000455AE"/>
    <w:rsid w:val="00047E5A"/>
    <w:rsid w:val="00051557"/>
    <w:rsid w:val="00051F32"/>
    <w:rsid w:val="000553E2"/>
    <w:rsid w:val="00055A14"/>
    <w:rsid w:val="0006439E"/>
    <w:rsid w:val="00073F1A"/>
    <w:rsid w:val="00074AD9"/>
    <w:rsid w:val="000773C9"/>
    <w:rsid w:val="00082066"/>
    <w:rsid w:val="000864A9"/>
    <w:rsid w:val="000940D4"/>
    <w:rsid w:val="000962D3"/>
    <w:rsid w:val="000968AF"/>
    <w:rsid w:val="00096923"/>
    <w:rsid w:val="00097540"/>
    <w:rsid w:val="000A40C8"/>
    <w:rsid w:val="000B4452"/>
    <w:rsid w:val="000B47C0"/>
    <w:rsid w:val="000B7FC2"/>
    <w:rsid w:val="000C49C3"/>
    <w:rsid w:val="000D07F7"/>
    <w:rsid w:val="000D59E9"/>
    <w:rsid w:val="000D7B37"/>
    <w:rsid w:val="000F3399"/>
    <w:rsid w:val="000F6834"/>
    <w:rsid w:val="001003AC"/>
    <w:rsid w:val="00104034"/>
    <w:rsid w:val="00116303"/>
    <w:rsid w:val="00125418"/>
    <w:rsid w:val="00134B88"/>
    <w:rsid w:val="00136455"/>
    <w:rsid w:val="0013745C"/>
    <w:rsid w:val="00140B2B"/>
    <w:rsid w:val="00140D9B"/>
    <w:rsid w:val="00162B4F"/>
    <w:rsid w:val="0016521A"/>
    <w:rsid w:val="00173D20"/>
    <w:rsid w:val="001757C2"/>
    <w:rsid w:val="00175848"/>
    <w:rsid w:val="0017657E"/>
    <w:rsid w:val="001855BF"/>
    <w:rsid w:val="00187278"/>
    <w:rsid w:val="00191C80"/>
    <w:rsid w:val="0019324E"/>
    <w:rsid w:val="00197CDA"/>
    <w:rsid w:val="001A46F7"/>
    <w:rsid w:val="001B2279"/>
    <w:rsid w:val="001B44EB"/>
    <w:rsid w:val="001C0394"/>
    <w:rsid w:val="001C12E7"/>
    <w:rsid w:val="001C5A19"/>
    <w:rsid w:val="001D39DA"/>
    <w:rsid w:val="001D5388"/>
    <w:rsid w:val="001E36C2"/>
    <w:rsid w:val="001E37A8"/>
    <w:rsid w:val="001F1555"/>
    <w:rsid w:val="001F197E"/>
    <w:rsid w:val="001F1CC9"/>
    <w:rsid w:val="001F4737"/>
    <w:rsid w:val="00200890"/>
    <w:rsid w:val="002040AA"/>
    <w:rsid w:val="00211236"/>
    <w:rsid w:val="00215C51"/>
    <w:rsid w:val="00222ED7"/>
    <w:rsid w:val="00223DA3"/>
    <w:rsid w:val="002266CC"/>
    <w:rsid w:val="0022688D"/>
    <w:rsid w:val="002320DD"/>
    <w:rsid w:val="00233A93"/>
    <w:rsid w:val="00251021"/>
    <w:rsid w:val="002521B1"/>
    <w:rsid w:val="0026230D"/>
    <w:rsid w:val="00287653"/>
    <w:rsid w:val="002A2BB9"/>
    <w:rsid w:val="002A6360"/>
    <w:rsid w:val="002B1058"/>
    <w:rsid w:val="002B3CDD"/>
    <w:rsid w:val="002B5A94"/>
    <w:rsid w:val="002E5096"/>
    <w:rsid w:val="002E6C62"/>
    <w:rsid w:val="002F2EE7"/>
    <w:rsid w:val="002F3F9C"/>
    <w:rsid w:val="002F4ED5"/>
    <w:rsid w:val="00300E47"/>
    <w:rsid w:val="003013BB"/>
    <w:rsid w:val="0031562E"/>
    <w:rsid w:val="00323361"/>
    <w:rsid w:val="00323639"/>
    <w:rsid w:val="003360AB"/>
    <w:rsid w:val="003426E0"/>
    <w:rsid w:val="0034369B"/>
    <w:rsid w:val="00347C3E"/>
    <w:rsid w:val="00350702"/>
    <w:rsid w:val="00350C77"/>
    <w:rsid w:val="00353E7C"/>
    <w:rsid w:val="00355542"/>
    <w:rsid w:val="00356337"/>
    <w:rsid w:val="00362855"/>
    <w:rsid w:val="00371051"/>
    <w:rsid w:val="00373307"/>
    <w:rsid w:val="003844A1"/>
    <w:rsid w:val="00392E81"/>
    <w:rsid w:val="003A09F0"/>
    <w:rsid w:val="003A49DA"/>
    <w:rsid w:val="003B13B2"/>
    <w:rsid w:val="003B2CE7"/>
    <w:rsid w:val="003C00B8"/>
    <w:rsid w:val="003C43B5"/>
    <w:rsid w:val="003C61C0"/>
    <w:rsid w:val="003C7F2A"/>
    <w:rsid w:val="003D57E7"/>
    <w:rsid w:val="003D7F77"/>
    <w:rsid w:val="003E28EE"/>
    <w:rsid w:val="003E432D"/>
    <w:rsid w:val="003E4AAD"/>
    <w:rsid w:val="003F2FD5"/>
    <w:rsid w:val="003F65A4"/>
    <w:rsid w:val="003F6CC8"/>
    <w:rsid w:val="003F74E4"/>
    <w:rsid w:val="00405A23"/>
    <w:rsid w:val="004075D7"/>
    <w:rsid w:val="0041252F"/>
    <w:rsid w:val="00415506"/>
    <w:rsid w:val="00416FEE"/>
    <w:rsid w:val="00417B5E"/>
    <w:rsid w:val="00420ED8"/>
    <w:rsid w:val="00424737"/>
    <w:rsid w:val="00425E2E"/>
    <w:rsid w:val="00441EAF"/>
    <w:rsid w:val="00442535"/>
    <w:rsid w:val="00445DF0"/>
    <w:rsid w:val="00463833"/>
    <w:rsid w:val="00470459"/>
    <w:rsid w:val="0048031C"/>
    <w:rsid w:val="004816E1"/>
    <w:rsid w:val="0048197C"/>
    <w:rsid w:val="0048572A"/>
    <w:rsid w:val="00485CFE"/>
    <w:rsid w:val="004877D5"/>
    <w:rsid w:val="004903DB"/>
    <w:rsid w:val="004A66CC"/>
    <w:rsid w:val="004B6357"/>
    <w:rsid w:val="004C1A68"/>
    <w:rsid w:val="004C272D"/>
    <w:rsid w:val="004C3C3E"/>
    <w:rsid w:val="004D0B78"/>
    <w:rsid w:val="004D2C2A"/>
    <w:rsid w:val="004D3705"/>
    <w:rsid w:val="004E4FE7"/>
    <w:rsid w:val="004E5085"/>
    <w:rsid w:val="004F383F"/>
    <w:rsid w:val="004F740B"/>
    <w:rsid w:val="005008C8"/>
    <w:rsid w:val="00502BD9"/>
    <w:rsid w:val="00504356"/>
    <w:rsid w:val="00516C14"/>
    <w:rsid w:val="00527255"/>
    <w:rsid w:val="00543825"/>
    <w:rsid w:val="005455EA"/>
    <w:rsid w:val="00552DF6"/>
    <w:rsid w:val="00552F81"/>
    <w:rsid w:val="00565B40"/>
    <w:rsid w:val="00566BBA"/>
    <w:rsid w:val="0057511B"/>
    <w:rsid w:val="00575C1B"/>
    <w:rsid w:val="005775AE"/>
    <w:rsid w:val="00587EB3"/>
    <w:rsid w:val="0059161E"/>
    <w:rsid w:val="00591DEB"/>
    <w:rsid w:val="005A0791"/>
    <w:rsid w:val="005B3016"/>
    <w:rsid w:val="005B348D"/>
    <w:rsid w:val="005B4AD8"/>
    <w:rsid w:val="005C6BA7"/>
    <w:rsid w:val="005D1A3E"/>
    <w:rsid w:val="005D229B"/>
    <w:rsid w:val="005E25B5"/>
    <w:rsid w:val="005E4783"/>
    <w:rsid w:val="005E6701"/>
    <w:rsid w:val="005F753E"/>
    <w:rsid w:val="00600F42"/>
    <w:rsid w:val="006037FB"/>
    <w:rsid w:val="00603B58"/>
    <w:rsid w:val="00614CB6"/>
    <w:rsid w:val="006174EF"/>
    <w:rsid w:val="0062252E"/>
    <w:rsid w:val="0062457D"/>
    <w:rsid w:val="00625789"/>
    <w:rsid w:val="006411BF"/>
    <w:rsid w:val="0064130C"/>
    <w:rsid w:val="00642C97"/>
    <w:rsid w:val="00642D35"/>
    <w:rsid w:val="00652A50"/>
    <w:rsid w:val="00656891"/>
    <w:rsid w:val="00661AEA"/>
    <w:rsid w:val="00663424"/>
    <w:rsid w:val="006718B6"/>
    <w:rsid w:val="00671FF8"/>
    <w:rsid w:val="00673BC0"/>
    <w:rsid w:val="00674443"/>
    <w:rsid w:val="00677AC7"/>
    <w:rsid w:val="00680CD2"/>
    <w:rsid w:val="0068758D"/>
    <w:rsid w:val="00690516"/>
    <w:rsid w:val="00693328"/>
    <w:rsid w:val="0069756F"/>
    <w:rsid w:val="006A1341"/>
    <w:rsid w:val="006A3B90"/>
    <w:rsid w:val="006B2019"/>
    <w:rsid w:val="006B2976"/>
    <w:rsid w:val="006B4324"/>
    <w:rsid w:val="006C38E7"/>
    <w:rsid w:val="006C5F1D"/>
    <w:rsid w:val="006D553C"/>
    <w:rsid w:val="006D5F7A"/>
    <w:rsid w:val="006E36CE"/>
    <w:rsid w:val="006E498F"/>
    <w:rsid w:val="006E4DE0"/>
    <w:rsid w:val="006E5BA8"/>
    <w:rsid w:val="00702A39"/>
    <w:rsid w:val="0071645D"/>
    <w:rsid w:val="00723F3A"/>
    <w:rsid w:val="00725577"/>
    <w:rsid w:val="007470D2"/>
    <w:rsid w:val="0075777C"/>
    <w:rsid w:val="007632EB"/>
    <w:rsid w:val="00766A98"/>
    <w:rsid w:val="00766E97"/>
    <w:rsid w:val="0077208B"/>
    <w:rsid w:val="007767B7"/>
    <w:rsid w:val="007800C4"/>
    <w:rsid w:val="00784A20"/>
    <w:rsid w:val="007909DB"/>
    <w:rsid w:val="007933C0"/>
    <w:rsid w:val="007A231E"/>
    <w:rsid w:val="007A34E9"/>
    <w:rsid w:val="007A5172"/>
    <w:rsid w:val="007B063A"/>
    <w:rsid w:val="007B148B"/>
    <w:rsid w:val="007C13B5"/>
    <w:rsid w:val="007D08FD"/>
    <w:rsid w:val="007D3DE6"/>
    <w:rsid w:val="007E0908"/>
    <w:rsid w:val="007E1B99"/>
    <w:rsid w:val="007E2941"/>
    <w:rsid w:val="007F5EB6"/>
    <w:rsid w:val="0080395F"/>
    <w:rsid w:val="00813ADC"/>
    <w:rsid w:val="008171F6"/>
    <w:rsid w:val="00817884"/>
    <w:rsid w:val="00821C68"/>
    <w:rsid w:val="0082551B"/>
    <w:rsid w:val="00825F23"/>
    <w:rsid w:val="00832A42"/>
    <w:rsid w:val="00832A61"/>
    <w:rsid w:val="00832BAF"/>
    <w:rsid w:val="00840214"/>
    <w:rsid w:val="00844691"/>
    <w:rsid w:val="00855B86"/>
    <w:rsid w:val="00855FB5"/>
    <w:rsid w:val="008565D1"/>
    <w:rsid w:val="008609A3"/>
    <w:rsid w:val="008667C9"/>
    <w:rsid w:val="00871C18"/>
    <w:rsid w:val="00872B29"/>
    <w:rsid w:val="00876728"/>
    <w:rsid w:val="008779F6"/>
    <w:rsid w:val="008817B6"/>
    <w:rsid w:val="00882529"/>
    <w:rsid w:val="00887B37"/>
    <w:rsid w:val="00891916"/>
    <w:rsid w:val="00897897"/>
    <w:rsid w:val="008A001D"/>
    <w:rsid w:val="008A303E"/>
    <w:rsid w:val="008A63CA"/>
    <w:rsid w:val="008A68A9"/>
    <w:rsid w:val="008A6D9D"/>
    <w:rsid w:val="008B30FB"/>
    <w:rsid w:val="008C6331"/>
    <w:rsid w:val="008D4727"/>
    <w:rsid w:val="008F786E"/>
    <w:rsid w:val="009009D4"/>
    <w:rsid w:val="00907C25"/>
    <w:rsid w:val="00911358"/>
    <w:rsid w:val="009249C2"/>
    <w:rsid w:val="00931C30"/>
    <w:rsid w:val="00934D76"/>
    <w:rsid w:val="009356BA"/>
    <w:rsid w:val="009379C2"/>
    <w:rsid w:val="009407E7"/>
    <w:rsid w:val="00940AC6"/>
    <w:rsid w:val="009470B8"/>
    <w:rsid w:val="009516BF"/>
    <w:rsid w:val="009615E6"/>
    <w:rsid w:val="00965803"/>
    <w:rsid w:val="00975D2D"/>
    <w:rsid w:val="009779ED"/>
    <w:rsid w:val="009810FD"/>
    <w:rsid w:val="009923DE"/>
    <w:rsid w:val="0099327A"/>
    <w:rsid w:val="00996919"/>
    <w:rsid w:val="009A07BE"/>
    <w:rsid w:val="009A7E3A"/>
    <w:rsid w:val="009B3E78"/>
    <w:rsid w:val="009C1871"/>
    <w:rsid w:val="009C23FD"/>
    <w:rsid w:val="009C2AAC"/>
    <w:rsid w:val="009D1E27"/>
    <w:rsid w:val="009D5465"/>
    <w:rsid w:val="009E23CC"/>
    <w:rsid w:val="009E6A73"/>
    <w:rsid w:val="009E6A87"/>
    <w:rsid w:val="00A020EC"/>
    <w:rsid w:val="00A12007"/>
    <w:rsid w:val="00A15FFC"/>
    <w:rsid w:val="00A21D43"/>
    <w:rsid w:val="00A33EDA"/>
    <w:rsid w:val="00A35363"/>
    <w:rsid w:val="00A52F5A"/>
    <w:rsid w:val="00A77169"/>
    <w:rsid w:val="00A802AD"/>
    <w:rsid w:val="00A840D3"/>
    <w:rsid w:val="00A905B6"/>
    <w:rsid w:val="00A92067"/>
    <w:rsid w:val="00A9679F"/>
    <w:rsid w:val="00AA49EC"/>
    <w:rsid w:val="00AB1ECB"/>
    <w:rsid w:val="00AB5612"/>
    <w:rsid w:val="00AC187B"/>
    <w:rsid w:val="00AC1ADC"/>
    <w:rsid w:val="00AC44B0"/>
    <w:rsid w:val="00AD4F6E"/>
    <w:rsid w:val="00AD7F2E"/>
    <w:rsid w:val="00AE538A"/>
    <w:rsid w:val="00AE6A90"/>
    <w:rsid w:val="00AF306A"/>
    <w:rsid w:val="00B034CE"/>
    <w:rsid w:val="00B0554E"/>
    <w:rsid w:val="00B067EA"/>
    <w:rsid w:val="00B117A2"/>
    <w:rsid w:val="00B1293B"/>
    <w:rsid w:val="00B20B80"/>
    <w:rsid w:val="00B318BE"/>
    <w:rsid w:val="00B31B9E"/>
    <w:rsid w:val="00B31C6A"/>
    <w:rsid w:val="00B34284"/>
    <w:rsid w:val="00B512BE"/>
    <w:rsid w:val="00B61E78"/>
    <w:rsid w:val="00B6343D"/>
    <w:rsid w:val="00B6362E"/>
    <w:rsid w:val="00B657DD"/>
    <w:rsid w:val="00B671F0"/>
    <w:rsid w:val="00B737BA"/>
    <w:rsid w:val="00B743C0"/>
    <w:rsid w:val="00B80020"/>
    <w:rsid w:val="00B83E50"/>
    <w:rsid w:val="00B867C4"/>
    <w:rsid w:val="00B8726D"/>
    <w:rsid w:val="00B940F4"/>
    <w:rsid w:val="00B9443D"/>
    <w:rsid w:val="00B950C4"/>
    <w:rsid w:val="00BA1117"/>
    <w:rsid w:val="00BA3E8D"/>
    <w:rsid w:val="00BB3516"/>
    <w:rsid w:val="00BB4720"/>
    <w:rsid w:val="00BB7390"/>
    <w:rsid w:val="00BC1BBA"/>
    <w:rsid w:val="00BD0D69"/>
    <w:rsid w:val="00BD2B9C"/>
    <w:rsid w:val="00BE16DE"/>
    <w:rsid w:val="00BF01AA"/>
    <w:rsid w:val="00C00D47"/>
    <w:rsid w:val="00C01BC5"/>
    <w:rsid w:val="00C01F73"/>
    <w:rsid w:val="00C32B6D"/>
    <w:rsid w:val="00C33AC3"/>
    <w:rsid w:val="00C35DC7"/>
    <w:rsid w:val="00C43385"/>
    <w:rsid w:val="00C6164D"/>
    <w:rsid w:val="00C61756"/>
    <w:rsid w:val="00C66CAB"/>
    <w:rsid w:val="00C74822"/>
    <w:rsid w:val="00C767A4"/>
    <w:rsid w:val="00C77E9D"/>
    <w:rsid w:val="00C83E0F"/>
    <w:rsid w:val="00C90BB1"/>
    <w:rsid w:val="00C95687"/>
    <w:rsid w:val="00C96BAA"/>
    <w:rsid w:val="00CA14F3"/>
    <w:rsid w:val="00CA3C1B"/>
    <w:rsid w:val="00CA40E5"/>
    <w:rsid w:val="00CA7C6D"/>
    <w:rsid w:val="00CB1386"/>
    <w:rsid w:val="00CB399D"/>
    <w:rsid w:val="00CB77D2"/>
    <w:rsid w:val="00CC4C4C"/>
    <w:rsid w:val="00CC6524"/>
    <w:rsid w:val="00CE13DB"/>
    <w:rsid w:val="00CE569D"/>
    <w:rsid w:val="00CF7933"/>
    <w:rsid w:val="00D0695C"/>
    <w:rsid w:val="00D17AC4"/>
    <w:rsid w:val="00D20990"/>
    <w:rsid w:val="00D34C86"/>
    <w:rsid w:val="00D34CF4"/>
    <w:rsid w:val="00D355F8"/>
    <w:rsid w:val="00D37A89"/>
    <w:rsid w:val="00D40122"/>
    <w:rsid w:val="00D4383F"/>
    <w:rsid w:val="00D47204"/>
    <w:rsid w:val="00D6048A"/>
    <w:rsid w:val="00D67567"/>
    <w:rsid w:val="00D705CA"/>
    <w:rsid w:val="00D71A95"/>
    <w:rsid w:val="00D76BE4"/>
    <w:rsid w:val="00D86C78"/>
    <w:rsid w:val="00D87F00"/>
    <w:rsid w:val="00D93B12"/>
    <w:rsid w:val="00D93D47"/>
    <w:rsid w:val="00DA3C56"/>
    <w:rsid w:val="00DB2F1D"/>
    <w:rsid w:val="00DB4783"/>
    <w:rsid w:val="00DC1946"/>
    <w:rsid w:val="00DC2592"/>
    <w:rsid w:val="00DC6880"/>
    <w:rsid w:val="00DD2DB4"/>
    <w:rsid w:val="00DD41AD"/>
    <w:rsid w:val="00DD5329"/>
    <w:rsid w:val="00DF2613"/>
    <w:rsid w:val="00DF48CE"/>
    <w:rsid w:val="00DF742B"/>
    <w:rsid w:val="00E034EF"/>
    <w:rsid w:val="00E14C1A"/>
    <w:rsid w:val="00E20FDC"/>
    <w:rsid w:val="00E32155"/>
    <w:rsid w:val="00E35F12"/>
    <w:rsid w:val="00E3714C"/>
    <w:rsid w:val="00E40593"/>
    <w:rsid w:val="00E4279F"/>
    <w:rsid w:val="00E45C3A"/>
    <w:rsid w:val="00E502D8"/>
    <w:rsid w:val="00E55D34"/>
    <w:rsid w:val="00E56FEF"/>
    <w:rsid w:val="00E65FB7"/>
    <w:rsid w:val="00E80BFB"/>
    <w:rsid w:val="00E83A34"/>
    <w:rsid w:val="00E86600"/>
    <w:rsid w:val="00EB6DFA"/>
    <w:rsid w:val="00EC0EA7"/>
    <w:rsid w:val="00EC4F9C"/>
    <w:rsid w:val="00EC72BE"/>
    <w:rsid w:val="00ED4067"/>
    <w:rsid w:val="00EE79EA"/>
    <w:rsid w:val="00EF79DF"/>
    <w:rsid w:val="00F06DCF"/>
    <w:rsid w:val="00F07BB8"/>
    <w:rsid w:val="00F174B2"/>
    <w:rsid w:val="00F25546"/>
    <w:rsid w:val="00F25BB7"/>
    <w:rsid w:val="00F27B33"/>
    <w:rsid w:val="00F30CBF"/>
    <w:rsid w:val="00F33339"/>
    <w:rsid w:val="00F35B03"/>
    <w:rsid w:val="00F36694"/>
    <w:rsid w:val="00F5764C"/>
    <w:rsid w:val="00F61703"/>
    <w:rsid w:val="00F72F7B"/>
    <w:rsid w:val="00F749C4"/>
    <w:rsid w:val="00F7720E"/>
    <w:rsid w:val="00F77935"/>
    <w:rsid w:val="00F77B96"/>
    <w:rsid w:val="00F847B4"/>
    <w:rsid w:val="00F93BE5"/>
    <w:rsid w:val="00F94683"/>
    <w:rsid w:val="00F970B2"/>
    <w:rsid w:val="00FB1ABD"/>
    <w:rsid w:val="00FB4CEA"/>
    <w:rsid w:val="00FB6F87"/>
    <w:rsid w:val="00FC40AD"/>
    <w:rsid w:val="00FD0AAE"/>
    <w:rsid w:val="00FD1322"/>
    <w:rsid w:val="00FF16A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029BD"/>
  <w15:chartTrackingRefBased/>
  <w15:docId w15:val="{1BEDEDA0-483C-4984-A51F-7D95217D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57E"/>
    <w:pPr>
      <w:spacing w:line="276" w:lineRule="auto"/>
    </w:pPr>
    <w:rPr>
      <w:rFonts w:ascii="Arial" w:hAnsi="Arial"/>
      <w:szCs w:val="22"/>
    </w:rPr>
  </w:style>
  <w:style w:type="paragraph" w:styleId="Heading1">
    <w:name w:val="heading 1"/>
    <w:basedOn w:val="Normal"/>
    <w:next w:val="Normal"/>
    <w:link w:val="Heading1Char"/>
    <w:uiPriority w:val="9"/>
    <w:qFormat/>
    <w:rsid w:val="00E502D8"/>
    <w:pPr>
      <w:keepNext/>
      <w:outlineLvl w:val="0"/>
    </w:pPr>
    <w:rPr>
      <w:rFonts w:cs="Arial"/>
      <w:b/>
      <w:bCs/>
      <w:noProof/>
      <w:color w:val="073E89"/>
      <w:kern w:val="32"/>
      <w:sz w:val="36"/>
      <w:szCs w:val="36"/>
    </w:rPr>
  </w:style>
  <w:style w:type="paragraph" w:styleId="Heading2">
    <w:name w:val="heading 2"/>
    <w:basedOn w:val="Heading1"/>
    <w:next w:val="Normal"/>
    <w:link w:val="Heading2Char"/>
    <w:uiPriority w:val="9"/>
    <w:unhideWhenUsed/>
    <w:qFormat/>
    <w:rsid w:val="00E502D8"/>
    <w:pPr>
      <w:outlineLvl w:val="1"/>
    </w:pPr>
    <w:rPr>
      <w:sz w:val="32"/>
      <w:szCs w:val="32"/>
    </w:rPr>
  </w:style>
  <w:style w:type="paragraph" w:styleId="Heading3">
    <w:name w:val="heading 3"/>
    <w:basedOn w:val="Normal"/>
    <w:next w:val="Normal"/>
    <w:link w:val="Heading3Char"/>
    <w:uiPriority w:val="9"/>
    <w:unhideWhenUsed/>
    <w:qFormat/>
    <w:rsid w:val="00012236"/>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0039A7"/>
    <w:pPr>
      <w:keepNext/>
      <w:spacing w:before="240" w:after="60"/>
      <w:outlineLvl w:val="3"/>
    </w:pPr>
    <w:rPr>
      <w:rFonts w:eastAsia="Times New Roman"/>
      <w:b/>
      <w:bCs/>
      <w:sz w:val="22"/>
      <w:szCs w:val="28"/>
    </w:rPr>
  </w:style>
  <w:style w:type="paragraph" w:styleId="Heading5">
    <w:name w:val="heading 5"/>
    <w:basedOn w:val="Normal"/>
    <w:next w:val="Normal"/>
    <w:link w:val="Heading5Char"/>
    <w:uiPriority w:val="9"/>
    <w:semiHidden/>
    <w:unhideWhenUsed/>
    <w:qFormat/>
    <w:rsid w:val="00C00D47"/>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300E47"/>
    <w:pPr>
      <w:spacing w:before="240" w:after="60"/>
      <w:outlineLvl w:val="6"/>
    </w:pPr>
    <w:rPr>
      <w:rFonts w:ascii="Calibri" w:eastAsia="Times New Roman" w:hAnsi="Calibri"/>
      <w:sz w:val="24"/>
      <w:szCs w:val="24"/>
    </w:rPr>
  </w:style>
  <w:style w:type="paragraph" w:styleId="Heading9">
    <w:name w:val="heading 9"/>
    <w:basedOn w:val="Normal"/>
    <w:next w:val="Normal"/>
    <w:link w:val="Heading9Char"/>
    <w:uiPriority w:val="9"/>
    <w:semiHidden/>
    <w:unhideWhenUsed/>
    <w:qFormat/>
    <w:rsid w:val="00C6164D"/>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BA"/>
    <w:pPr>
      <w:tabs>
        <w:tab w:val="center" w:pos="4680"/>
        <w:tab w:val="right" w:pos="9360"/>
      </w:tabs>
      <w:spacing w:line="240" w:lineRule="auto"/>
    </w:pPr>
  </w:style>
  <w:style w:type="character" w:customStyle="1" w:styleId="HeaderChar">
    <w:name w:val="Header Char"/>
    <w:basedOn w:val="DefaultParagraphFont"/>
    <w:link w:val="Header"/>
    <w:uiPriority w:val="99"/>
    <w:rsid w:val="009356BA"/>
  </w:style>
  <w:style w:type="paragraph" w:styleId="Footer">
    <w:name w:val="footer"/>
    <w:basedOn w:val="Normal"/>
    <w:link w:val="FooterChar"/>
    <w:uiPriority w:val="99"/>
    <w:unhideWhenUsed/>
    <w:rsid w:val="009356BA"/>
    <w:pPr>
      <w:tabs>
        <w:tab w:val="center" w:pos="4680"/>
        <w:tab w:val="right" w:pos="9360"/>
      </w:tabs>
      <w:spacing w:line="240" w:lineRule="auto"/>
    </w:pPr>
  </w:style>
  <w:style w:type="character" w:customStyle="1" w:styleId="FooterChar">
    <w:name w:val="Footer Char"/>
    <w:basedOn w:val="DefaultParagraphFont"/>
    <w:link w:val="Footer"/>
    <w:uiPriority w:val="99"/>
    <w:rsid w:val="009356BA"/>
  </w:style>
  <w:style w:type="paragraph" w:styleId="BalloonText">
    <w:name w:val="Balloon Text"/>
    <w:basedOn w:val="Normal"/>
    <w:link w:val="BalloonTextChar"/>
    <w:uiPriority w:val="99"/>
    <w:semiHidden/>
    <w:unhideWhenUsed/>
    <w:rsid w:val="001C0394"/>
    <w:pPr>
      <w:spacing w:line="240" w:lineRule="auto"/>
    </w:pPr>
    <w:rPr>
      <w:rFonts w:cs="Tahoma"/>
      <w:sz w:val="16"/>
      <w:szCs w:val="16"/>
    </w:rPr>
  </w:style>
  <w:style w:type="character" w:customStyle="1" w:styleId="BalloonTextChar">
    <w:name w:val="Balloon Text Char"/>
    <w:link w:val="BalloonText"/>
    <w:uiPriority w:val="99"/>
    <w:semiHidden/>
    <w:rsid w:val="001C0394"/>
    <w:rPr>
      <w:rFonts w:ascii="Tahoma" w:hAnsi="Tahoma" w:cs="Tahoma"/>
      <w:sz w:val="16"/>
      <w:szCs w:val="16"/>
    </w:rPr>
  </w:style>
  <w:style w:type="character" w:customStyle="1" w:styleId="Heading1Char">
    <w:name w:val="Heading 1 Char"/>
    <w:link w:val="Heading1"/>
    <w:uiPriority w:val="9"/>
    <w:rsid w:val="00E502D8"/>
    <w:rPr>
      <w:rFonts w:ascii="Arial" w:hAnsi="Arial" w:cs="Arial"/>
      <w:b/>
      <w:bCs/>
      <w:noProof/>
      <w:color w:val="073E89"/>
      <w:kern w:val="32"/>
      <w:sz w:val="36"/>
      <w:szCs w:val="36"/>
    </w:rPr>
  </w:style>
  <w:style w:type="paragraph" w:styleId="NoSpacing">
    <w:name w:val="No Spacing"/>
    <w:uiPriority w:val="1"/>
    <w:qFormat/>
    <w:rsid w:val="00680CD2"/>
    <w:rPr>
      <w:sz w:val="22"/>
      <w:szCs w:val="22"/>
    </w:rPr>
  </w:style>
  <w:style w:type="paragraph" w:styleId="Title">
    <w:name w:val="Title"/>
    <w:basedOn w:val="Heading1"/>
    <w:next w:val="Normal"/>
    <w:link w:val="TitleChar"/>
    <w:uiPriority w:val="10"/>
    <w:qFormat/>
    <w:rsid w:val="008A6D9D"/>
  </w:style>
  <w:style w:type="character" w:customStyle="1" w:styleId="TitleChar">
    <w:name w:val="Title Char"/>
    <w:link w:val="Title"/>
    <w:uiPriority w:val="10"/>
    <w:rsid w:val="008A6D9D"/>
    <w:rPr>
      <w:rFonts w:ascii="Arial" w:eastAsia="Times New Roman" w:hAnsi="Arial" w:cs="Arial"/>
      <w:b/>
      <w:bCs/>
      <w:noProof/>
      <w:color w:val="073E89"/>
      <w:kern w:val="32"/>
      <w:sz w:val="48"/>
      <w:szCs w:val="48"/>
    </w:rPr>
  </w:style>
  <w:style w:type="paragraph" w:styleId="Subtitle">
    <w:name w:val="Subtitle"/>
    <w:basedOn w:val="Normal"/>
    <w:next w:val="Normal"/>
    <w:link w:val="SubtitleChar"/>
    <w:uiPriority w:val="11"/>
    <w:qFormat/>
    <w:rsid w:val="00680CD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80CD2"/>
    <w:rPr>
      <w:rFonts w:ascii="Cambria" w:eastAsia="Times New Roman" w:hAnsi="Cambria" w:cs="Times New Roman"/>
      <w:sz w:val="24"/>
      <w:szCs w:val="24"/>
    </w:rPr>
  </w:style>
  <w:style w:type="character" w:customStyle="1" w:styleId="Heading2Char">
    <w:name w:val="Heading 2 Char"/>
    <w:link w:val="Heading2"/>
    <w:uiPriority w:val="9"/>
    <w:rsid w:val="00E502D8"/>
    <w:rPr>
      <w:rFonts w:ascii="Arial" w:hAnsi="Arial" w:cs="Arial"/>
      <w:b/>
      <w:bCs/>
      <w:noProof/>
      <w:color w:val="073E89"/>
      <w:kern w:val="32"/>
      <w:sz w:val="32"/>
      <w:szCs w:val="32"/>
    </w:rPr>
  </w:style>
  <w:style w:type="paragraph" w:customStyle="1" w:styleId="indent">
    <w:name w:val="indent"/>
    <w:basedOn w:val="Normal"/>
    <w:qFormat/>
    <w:rsid w:val="0064130C"/>
    <w:pPr>
      <w:spacing w:before="120" w:after="120"/>
      <w:ind w:left="432"/>
    </w:pPr>
  </w:style>
  <w:style w:type="table" w:styleId="TableGrid">
    <w:name w:val="Table Grid"/>
    <w:basedOn w:val="TableNormal"/>
    <w:uiPriority w:val="59"/>
    <w:rsid w:val="009516B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970B2"/>
    <w:rPr>
      <w:color w:val="0000FF"/>
      <w:u w:val="single"/>
    </w:rPr>
  </w:style>
  <w:style w:type="character" w:customStyle="1" w:styleId="Heading3Char">
    <w:name w:val="Heading 3 Char"/>
    <w:link w:val="Heading3"/>
    <w:uiPriority w:val="9"/>
    <w:rsid w:val="00012236"/>
    <w:rPr>
      <w:rFonts w:ascii="Tahoma" w:eastAsia="Times New Roman" w:hAnsi="Tahoma"/>
      <w:b/>
      <w:bCs/>
      <w:sz w:val="26"/>
      <w:szCs w:val="26"/>
    </w:rPr>
  </w:style>
  <w:style w:type="paragraph" w:customStyle="1" w:styleId="Default">
    <w:name w:val="Default"/>
    <w:rsid w:val="001D5388"/>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FF16A1"/>
    <w:rPr>
      <w:sz w:val="16"/>
      <w:szCs w:val="16"/>
    </w:rPr>
  </w:style>
  <w:style w:type="paragraph" w:styleId="CommentText">
    <w:name w:val="annotation text"/>
    <w:basedOn w:val="Normal"/>
    <w:link w:val="CommentTextChar"/>
    <w:uiPriority w:val="99"/>
    <w:semiHidden/>
    <w:unhideWhenUsed/>
    <w:rsid w:val="00FF16A1"/>
    <w:rPr>
      <w:szCs w:val="20"/>
    </w:rPr>
  </w:style>
  <w:style w:type="character" w:customStyle="1" w:styleId="CommentTextChar">
    <w:name w:val="Comment Text Char"/>
    <w:link w:val="CommentText"/>
    <w:uiPriority w:val="99"/>
    <w:semiHidden/>
    <w:rsid w:val="00FF16A1"/>
    <w:rPr>
      <w:rFonts w:ascii="Tahoma" w:hAnsi="Tahoma"/>
    </w:rPr>
  </w:style>
  <w:style w:type="paragraph" w:styleId="CommentSubject">
    <w:name w:val="annotation subject"/>
    <w:basedOn w:val="CommentText"/>
    <w:next w:val="CommentText"/>
    <w:link w:val="CommentSubjectChar"/>
    <w:uiPriority w:val="99"/>
    <w:semiHidden/>
    <w:unhideWhenUsed/>
    <w:rsid w:val="00FF16A1"/>
    <w:rPr>
      <w:b/>
      <w:bCs/>
    </w:rPr>
  </w:style>
  <w:style w:type="character" w:customStyle="1" w:styleId="CommentSubjectChar">
    <w:name w:val="Comment Subject Char"/>
    <w:link w:val="CommentSubject"/>
    <w:uiPriority w:val="99"/>
    <w:semiHidden/>
    <w:rsid w:val="00FF16A1"/>
    <w:rPr>
      <w:rFonts w:ascii="Tahoma" w:hAnsi="Tahoma"/>
      <w:b/>
      <w:bCs/>
    </w:rPr>
  </w:style>
  <w:style w:type="character" w:customStyle="1" w:styleId="Heading4Char">
    <w:name w:val="Heading 4 Char"/>
    <w:link w:val="Heading4"/>
    <w:uiPriority w:val="9"/>
    <w:rsid w:val="000039A7"/>
    <w:rPr>
      <w:rFonts w:ascii="Arial" w:eastAsia="Times New Roman" w:hAnsi="Arial"/>
      <w:b/>
      <w:bCs/>
      <w:sz w:val="22"/>
      <w:szCs w:val="28"/>
    </w:rPr>
  </w:style>
  <w:style w:type="paragraph" w:styleId="DocumentMap">
    <w:name w:val="Document Map"/>
    <w:basedOn w:val="Normal"/>
    <w:link w:val="DocumentMapChar"/>
    <w:uiPriority w:val="99"/>
    <w:semiHidden/>
    <w:unhideWhenUsed/>
    <w:rsid w:val="00543825"/>
    <w:rPr>
      <w:rFonts w:cs="Tahoma"/>
      <w:sz w:val="16"/>
      <w:szCs w:val="16"/>
    </w:rPr>
  </w:style>
  <w:style w:type="character" w:customStyle="1" w:styleId="DocumentMapChar">
    <w:name w:val="Document Map Char"/>
    <w:link w:val="DocumentMap"/>
    <w:uiPriority w:val="99"/>
    <w:semiHidden/>
    <w:rsid w:val="00543825"/>
    <w:rPr>
      <w:rFonts w:ascii="Tahoma" w:hAnsi="Tahoma" w:cs="Tahoma"/>
      <w:sz w:val="16"/>
      <w:szCs w:val="16"/>
    </w:rPr>
  </w:style>
  <w:style w:type="character" w:customStyle="1" w:styleId="Heading5Char">
    <w:name w:val="Heading 5 Char"/>
    <w:link w:val="Heading5"/>
    <w:uiPriority w:val="9"/>
    <w:semiHidden/>
    <w:rsid w:val="00C00D47"/>
    <w:rPr>
      <w:rFonts w:ascii="Calibri" w:eastAsia="Times New Roman" w:hAnsi="Calibri" w:cs="Times New Roman"/>
      <w:b/>
      <w:bCs/>
      <w:i/>
      <w:iCs/>
      <w:sz w:val="26"/>
      <w:szCs w:val="26"/>
    </w:rPr>
  </w:style>
  <w:style w:type="paragraph" w:styleId="ListParagraph">
    <w:name w:val="List Paragraph"/>
    <w:basedOn w:val="Normal"/>
    <w:uiPriority w:val="34"/>
    <w:qFormat/>
    <w:rsid w:val="00C00D47"/>
    <w:pPr>
      <w:ind w:left="720"/>
      <w:contextualSpacing/>
    </w:pPr>
  </w:style>
  <w:style w:type="character" w:customStyle="1" w:styleId="Heading9Char">
    <w:name w:val="Heading 9 Char"/>
    <w:link w:val="Heading9"/>
    <w:uiPriority w:val="9"/>
    <w:semiHidden/>
    <w:rsid w:val="00C6164D"/>
    <w:rPr>
      <w:rFonts w:ascii="Cambria" w:eastAsia="Times New Roman" w:hAnsi="Cambria" w:cs="Times New Roman"/>
      <w:sz w:val="22"/>
      <w:szCs w:val="22"/>
    </w:rPr>
  </w:style>
  <w:style w:type="character" w:customStyle="1" w:styleId="Heading7Char">
    <w:name w:val="Heading 7 Char"/>
    <w:link w:val="Heading7"/>
    <w:uiPriority w:val="9"/>
    <w:semiHidden/>
    <w:rsid w:val="00300E47"/>
    <w:rPr>
      <w:rFonts w:ascii="Calibri" w:eastAsia="Times New Roman" w:hAnsi="Calibri" w:cs="Times New Roman"/>
      <w:sz w:val="24"/>
      <w:szCs w:val="24"/>
    </w:rPr>
  </w:style>
  <w:style w:type="paragraph" w:customStyle="1" w:styleId="Achievement">
    <w:name w:val="Achievement"/>
    <w:basedOn w:val="Normal"/>
    <w:rsid w:val="003A49DA"/>
    <w:pPr>
      <w:numPr>
        <w:numId w:val="2"/>
      </w:numPr>
      <w:spacing w:line="240" w:lineRule="auto"/>
    </w:pPr>
    <w:rPr>
      <w:rFonts w:ascii="Times New Roman" w:eastAsia="Times New Roman" w:hAnsi="Times New Roman"/>
      <w:sz w:val="24"/>
      <w:szCs w:val="24"/>
    </w:rPr>
  </w:style>
  <w:style w:type="paragraph" w:customStyle="1" w:styleId="Quicka">
    <w:name w:val="Quick a."/>
    <w:basedOn w:val="Normal"/>
    <w:rsid w:val="006C5F1D"/>
    <w:pPr>
      <w:widowControl w:val="0"/>
      <w:numPr>
        <w:numId w:val="3"/>
      </w:numPr>
      <w:autoSpaceDE w:val="0"/>
      <w:autoSpaceDN w:val="0"/>
      <w:adjustRightInd w:val="0"/>
      <w:spacing w:line="240" w:lineRule="auto"/>
      <w:ind w:left="2160" w:hanging="720"/>
    </w:pPr>
    <w:rPr>
      <w:rFonts w:ascii="Times New Roman" w:eastAsia="Times New Roman" w:hAnsi="Times New Roman"/>
      <w:szCs w:val="24"/>
    </w:rPr>
  </w:style>
  <w:style w:type="paragraph" w:styleId="BodyText">
    <w:name w:val="Body Text"/>
    <w:basedOn w:val="Normal"/>
    <w:link w:val="BodyTextChar"/>
    <w:rsid w:val="006C5F1D"/>
    <w:pPr>
      <w:widowControl w:val="0"/>
      <w:autoSpaceDE w:val="0"/>
      <w:autoSpaceDN w:val="0"/>
      <w:adjustRightInd w:val="0"/>
      <w:spacing w:line="240" w:lineRule="auto"/>
      <w:jc w:val="both"/>
    </w:pPr>
    <w:rPr>
      <w:rFonts w:ascii="Times New Roman" w:eastAsia="Times New Roman" w:hAnsi="Times New Roman"/>
      <w:sz w:val="32"/>
      <w:szCs w:val="24"/>
    </w:rPr>
  </w:style>
  <w:style w:type="character" w:customStyle="1" w:styleId="BodyTextChar">
    <w:name w:val="Body Text Char"/>
    <w:link w:val="BodyText"/>
    <w:rsid w:val="006C5F1D"/>
    <w:rPr>
      <w:rFonts w:ascii="Times New Roman" w:eastAsia="Times New Roman" w:hAnsi="Times New Roman"/>
      <w:sz w:val="32"/>
      <w:szCs w:val="24"/>
    </w:rPr>
  </w:style>
  <w:style w:type="paragraph" w:styleId="BodyTextIndent2">
    <w:name w:val="Body Text Indent 2"/>
    <w:basedOn w:val="Normal"/>
    <w:link w:val="BodyTextIndent2Char"/>
    <w:rsid w:val="006C5F1D"/>
    <w:pPr>
      <w:widowControl w:val="0"/>
      <w:autoSpaceDE w:val="0"/>
      <w:autoSpaceDN w:val="0"/>
      <w:adjustRightInd w:val="0"/>
      <w:spacing w:line="240" w:lineRule="auto"/>
      <w:ind w:firstLine="720"/>
      <w:jc w:val="both"/>
    </w:pPr>
    <w:rPr>
      <w:rFonts w:ascii="Times New Roman" w:eastAsia="Times New Roman" w:hAnsi="Times New Roman"/>
      <w:sz w:val="24"/>
      <w:szCs w:val="24"/>
    </w:rPr>
  </w:style>
  <w:style w:type="character" w:customStyle="1" w:styleId="BodyTextIndent2Char">
    <w:name w:val="Body Text Indent 2 Char"/>
    <w:link w:val="BodyTextIndent2"/>
    <w:rsid w:val="006C5F1D"/>
    <w:rPr>
      <w:rFonts w:ascii="Times New Roman" w:eastAsia="Times New Roman" w:hAnsi="Times New Roman"/>
      <w:sz w:val="24"/>
      <w:szCs w:val="24"/>
    </w:rPr>
  </w:style>
  <w:style w:type="paragraph" w:styleId="BodyText2">
    <w:name w:val="Body Text 2"/>
    <w:basedOn w:val="Normal"/>
    <w:link w:val="BodyText2Char"/>
    <w:rsid w:val="006C5F1D"/>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odyText2Char">
    <w:name w:val="Body Text 2 Char"/>
    <w:link w:val="BodyText2"/>
    <w:rsid w:val="006C5F1D"/>
    <w:rPr>
      <w:rFonts w:ascii="Times New Roman" w:eastAsia="Times New Roman" w:hAnsi="Times New Roman"/>
      <w:sz w:val="24"/>
      <w:szCs w:val="24"/>
    </w:rPr>
  </w:style>
  <w:style w:type="paragraph" w:styleId="NormalWeb">
    <w:name w:val="Normal (Web)"/>
    <w:basedOn w:val="Normal"/>
    <w:rsid w:val="006C5F1D"/>
    <w:pPr>
      <w:spacing w:before="100" w:beforeAutospacing="1" w:after="100" w:afterAutospacing="1" w:line="240" w:lineRule="auto"/>
    </w:pPr>
    <w:rPr>
      <w:rFonts w:ascii="Times New Roman" w:eastAsia="Times New Roman" w:hAnsi="Times New Roman"/>
      <w:sz w:val="24"/>
      <w:szCs w:val="24"/>
    </w:rPr>
  </w:style>
  <w:style w:type="character" w:customStyle="1" w:styleId="resourcetitle">
    <w:name w:val="resourcetitle"/>
    <w:basedOn w:val="DefaultParagraphFont"/>
    <w:rsid w:val="001F1CC9"/>
  </w:style>
  <w:style w:type="paragraph" w:styleId="PlainText">
    <w:name w:val="Plain Text"/>
    <w:basedOn w:val="Normal"/>
    <w:link w:val="PlainTextChar"/>
    <w:uiPriority w:val="99"/>
    <w:semiHidden/>
    <w:unhideWhenUsed/>
    <w:rsid w:val="006E4DE0"/>
    <w:pPr>
      <w:spacing w:line="240" w:lineRule="auto"/>
    </w:pPr>
    <w:rPr>
      <w:rFonts w:ascii="Consolas" w:hAnsi="Consolas"/>
      <w:sz w:val="21"/>
      <w:szCs w:val="21"/>
    </w:rPr>
  </w:style>
  <w:style w:type="character" w:customStyle="1" w:styleId="PlainTextChar">
    <w:name w:val="Plain Text Char"/>
    <w:link w:val="PlainText"/>
    <w:uiPriority w:val="99"/>
    <w:semiHidden/>
    <w:rsid w:val="006E4DE0"/>
    <w:rPr>
      <w:rFonts w:ascii="Consolas" w:eastAsia="Calibri" w:hAnsi="Consolas" w:cs="Times New Roman"/>
      <w:sz w:val="21"/>
      <w:szCs w:val="21"/>
    </w:rPr>
  </w:style>
  <w:style w:type="character" w:styleId="FollowedHyperlink">
    <w:name w:val="FollowedHyperlink"/>
    <w:uiPriority w:val="99"/>
    <w:semiHidden/>
    <w:unhideWhenUsed/>
    <w:rsid w:val="00CC6524"/>
    <w:rPr>
      <w:color w:val="800080"/>
      <w:u w:val="single"/>
    </w:rPr>
  </w:style>
  <w:style w:type="paragraph" w:styleId="BodyTextIndent3">
    <w:name w:val="Body Text Indent 3"/>
    <w:basedOn w:val="Normal"/>
    <w:link w:val="BodyTextIndent3Char"/>
    <w:uiPriority w:val="99"/>
    <w:unhideWhenUsed/>
    <w:rsid w:val="00DB4783"/>
    <w:pPr>
      <w:spacing w:after="120"/>
      <w:ind w:left="360"/>
    </w:pPr>
    <w:rPr>
      <w:sz w:val="16"/>
      <w:szCs w:val="16"/>
    </w:rPr>
  </w:style>
  <w:style w:type="character" w:customStyle="1" w:styleId="BodyTextIndent3Char">
    <w:name w:val="Body Text Indent 3 Char"/>
    <w:link w:val="BodyTextIndent3"/>
    <w:uiPriority w:val="99"/>
    <w:rsid w:val="00DB4783"/>
    <w:rPr>
      <w:rFonts w:ascii="Tahoma" w:hAnsi="Tahoma"/>
      <w:sz w:val="16"/>
      <w:szCs w:val="16"/>
    </w:rPr>
  </w:style>
  <w:style w:type="table" w:customStyle="1" w:styleId="TableGrid1">
    <w:name w:val="Table Grid1"/>
    <w:basedOn w:val="TableNormal"/>
    <w:next w:val="TableGrid"/>
    <w:uiPriority w:val="59"/>
    <w:rsid w:val="00E427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2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8567">
      <w:bodyDiv w:val="1"/>
      <w:marLeft w:val="0"/>
      <w:marRight w:val="0"/>
      <w:marTop w:val="0"/>
      <w:marBottom w:val="0"/>
      <w:divBdr>
        <w:top w:val="none" w:sz="0" w:space="0" w:color="auto"/>
        <w:left w:val="none" w:sz="0" w:space="0" w:color="auto"/>
        <w:bottom w:val="none" w:sz="0" w:space="0" w:color="auto"/>
        <w:right w:val="none" w:sz="0" w:space="0" w:color="auto"/>
      </w:divBdr>
      <w:divsChild>
        <w:div w:id="924458460">
          <w:marLeft w:val="0"/>
          <w:marRight w:val="0"/>
          <w:marTop w:val="0"/>
          <w:marBottom w:val="0"/>
          <w:divBdr>
            <w:top w:val="single" w:sz="2" w:space="0" w:color="000000"/>
            <w:left w:val="single" w:sz="2" w:space="0" w:color="000000"/>
            <w:bottom w:val="single" w:sz="2" w:space="0" w:color="000000"/>
            <w:right w:val="single" w:sz="2" w:space="0" w:color="000000"/>
          </w:divBdr>
          <w:divsChild>
            <w:div w:id="433483091">
              <w:marLeft w:val="2610"/>
              <w:marRight w:val="0"/>
              <w:marTop w:val="0"/>
              <w:marBottom w:val="0"/>
              <w:divBdr>
                <w:top w:val="single" w:sz="2" w:space="0" w:color="FF0000"/>
                <w:left w:val="single" w:sz="2" w:space="0" w:color="FF0000"/>
                <w:bottom w:val="single" w:sz="2" w:space="0" w:color="FF0000"/>
                <w:right w:val="single" w:sz="2" w:space="0" w:color="FF0000"/>
              </w:divBdr>
              <w:divsChild>
                <w:div w:id="1872760447">
                  <w:marLeft w:val="0"/>
                  <w:marRight w:val="180"/>
                  <w:marTop w:val="75"/>
                  <w:marBottom w:val="0"/>
                  <w:divBdr>
                    <w:top w:val="single" w:sz="2" w:space="0" w:color="FF0000"/>
                    <w:left w:val="single" w:sz="2" w:space="0" w:color="FF0000"/>
                    <w:bottom w:val="single" w:sz="2" w:space="0" w:color="FF0000"/>
                    <w:right w:val="single" w:sz="2" w:space="0" w:color="FF0000"/>
                  </w:divBdr>
                  <w:divsChild>
                    <w:div w:id="2005358191">
                      <w:marLeft w:val="0"/>
                      <w:marRight w:val="0"/>
                      <w:marTop w:val="0"/>
                      <w:marBottom w:val="0"/>
                      <w:divBdr>
                        <w:top w:val="none" w:sz="0" w:space="0" w:color="auto"/>
                        <w:left w:val="none" w:sz="0" w:space="0" w:color="auto"/>
                        <w:bottom w:val="none" w:sz="0" w:space="0" w:color="auto"/>
                        <w:right w:val="none" w:sz="0" w:space="0" w:color="auto"/>
                      </w:divBdr>
                      <w:divsChild>
                        <w:div w:id="104807798">
                          <w:marLeft w:val="0"/>
                          <w:marRight w:val="0"/>
                          <w:marTop w:val="0"/>
                          <w:marBottom w:val="0"/>
                          <w:divBdr>
                            <w:top w:val="none" w:sz="0" w:space="0" w:color="auto"/>
                            <w:left w:val="none" w:sz="0" w:space="0" w:color="auto"/>
                            <w:bottom w:val="none" w:sz="0" w:space="0" w:color="auto"/>
                            <w:right w:val="none" w:sz="0" w:space="0" w:color="auto"/>
                          </w:divBdr>
                          <w:divsChild>
                            <w:div w:id="1631670771">
                              <w:marLeft w:val="0"/>
                              <w:marRight w:val="0"/>
                              <w:marTop w:val="0"/>
                              <w:marBottom w:val="0"/>
                              <w:divBdr>
                                <w:top w:val="none" w:sz="0" w:space="0" w:color="auto"/>
                                <w:left w:val="none" w:sz="0" w:space="0" w:color="auto"/>
                                <w:bottom w:val="none" w:sz="0" w:space="0" w:color="auto"/>
                                <w:right w:val="none" w:sz="0" w:space="0" w:color="auto"/>
                              </w:divBdr>
                            </w:div>
                            <w:div w:id="19476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30147">
      <w:bodyDiv w:val="1"/>
      <w:marLeft w:val="0"/>
      <w:marRight w:val="0"/>
      <w:marTop w:val="0"/>
      <w:marBottom w:val="0"/>
      <w:divBdr>
        <w:top w:val="none" w:sz="0" w:space="0" w:color="auto"/>
        <w:left w:val="none" w:sz="0" w:space="0" w:color="auto"/>
        <w:bottom w:val="none" w:sz="0" w:space="0" w:color="auto"/>
        <w:right w:val="none" w:sz="0" w:space="0" w:color="auto"/>
      </w:divBdr>
    </w:div>
    <w:div w:id="614484713">
      <w:bodyDiv w:val="1"/>
      <w:marLeft w:val="0"/>
      <w:marRight w:val="0"/>
      <w:marTop w:val="0"/>
      <w:marBottom w:val="0"/>
      <w:divBdr>
        <w:top w:val="none" w:sz="0" w:space="0" w:color="auto"/>
        <w:left w:val="none" w:sz="0" w:space="0" w:color="auto"/>
        <w:bottom w:val="none" w:sz="0" w:space="0" w:color="auto"/>
        <w:right w:val="none" w:sz="0" w:space="0" w:color="auto"/>
      </w:divBdr>
    </w:div>
    <w:div w:id="903220474">
      <w:bodyDiv w:val="1"/>
      <w:marLeft w:val="0"/>
      <w:marRight w:val="0"/>
      <w:marTop w:val="0"/>
      <w:marBottom w:val="0"/>
      <w:divBdr>
        <w:top w:val="none" w:sz="0" w:space="0" w:color="auto"/>
        <w:left w:val="none" w:sz="0" w:space="0" w:color="auto"/>
        <w:bottom w:val="none" w:sz="0" w:space="0" w:color="auto"/>
        <w:right w:val="none" w:sz="0" w:space="0" w:color="auto"/>
      </w:divBdr>
    </w:div>
    <w:div w:id="1020861691">
      <w:bodyDiv w:val="1"/>
      <w:marLeft w:val="0"/>
      <w:marRight w:val="0"/>
      <w:marTop w:val="0"/>
      <w:marBottom w:val="0"/>
      <w:divBdr>
        <w:top w:val="none" w:sz="0" w:space="0" w:color="auto"/>
        <w:left w:val="none" w:sz="0" w:space="0" w:color="auto"/>
        <w:bottom w:val="none" w:sz="0" w:space="0" w:color="auto"/>
        <w:right w:val="none" w:sz="0" w:space="0" w:color="auto"/>
      </w:divBdr>
    </w:div>
    <w:div w:id="1249847255">
      <w:bodyDiv w:val="1"/>
      <w:marLeft w:val="0"/>
      <w:marRight w:val="0"/>
      <w:marTop w:val="0"/>
      <w:marBottom w:val="0"/>
      <w:divBdr>
        <w:top w:val="none" w:sz="0" w:space="0" w:color="auto"/>
        <w:left w:val="none" w:sz="0" w:space="0" w:color="auto"/>
        <w:bottom w:val="none" w:sz="0" w:space="0" w:color="auto"/>
        <w:right w:val="none" w:sz="0" w:space="0" w:color="auto"/>
      </w:divBdr>
    </w:div>
    <w:div w:id="16780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u.edu/technology-services/computer-recommend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90AB-CBD4-4E2C-A185-7EACCECD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SWU</Company>
  <LinksUpToDate>false</LinksUpToDate>
  <CharactersWithSpaces>6335</CharactersWithSpaces>
  <SharedDoc>false</SharedDoc>
  <HLinks>
    <vt:vector size="30" baseType="variant">
      <vt:variant>
        <vt:i4>3211273</vt:i4>
      </vt:variant>
      <vt:variant>
        <vt:i4>18</vt:i4>
      </vt:variant>
      <vt:variant>
        <vt:i4>0</vt:i4>
      </vt:variant>
      <vt:variant>
        <vt:i4>5</vt:i4>
      </vt:variant>
      <vt:variant>
        <vt:lpwstr>mailto:support@smarthinking.com</vt:lpwstr>
      </vt:variant>
      <vt:variant>
        <vt:lpwstr/>
      </vt:variant>
      <vt:variant>
        <vt:i4>5177417</vt:i4>
      </vt:variant>
      <vt:variant>
        <vt:i4>15</vt:i4>
      </vt:variant>
      <vt:variant>
        <vt:i4>0</vt:i4>
      </vt:variant>
      <vt:variant>
        <vt:i4>5</vt:i4>
      </vt:variant>
      <vt:variant>
        <vt:lpwstr>http://www.smarthinking.com/</vt:lpwstr>
      </vt:variant>
      <vt:variant>
        <vt:lpwstr/>
      </vt:variant>
      <vt:variant>
        <vt:i4>8257598</vt:i4>
      </vt:variant>
      <vt:variant>
        <vt:i4>12</vt:i4>
      </vt:variant>
      <vt:variant>
        <vt:i4>0</vt:i4>
      </vt:variant>
      <vt:variant>
        <vt:i4>5</vt:i4>
      </vt:variant>
      <vt:variant>
        <vt:lpwstr>https://my.swu.edu/</vt:lpwstr>
      </vt:variant>
      <vt:variant>
        <vt:lpwstr/>
      </vt:variant>
      <vt:variant>
        <vt:i4>8192070</vt:i4>
      </vt:variant>
      <vt:variant>
        <vt:i4>9</vt:i4>
      </vt:variant>
      <vt:variant>
        <vt:i4>0</vt:i4>
      </vt:variant>
      <vt:variant>
        <vt:i4>5</vt:i4>
      </vt:variant>
      <vt:variant>
        <vt:lpwstr>mailto:mmishoe@swu.edu</vt:lpwstr>
      </vt:variant>
      <vt:variant>
        <vt:lpwstr/>
      </vt:variant>
      <vt:variant>
        <vt:i4>7209082</vt:i4>
      </vt:variant>
      <vt:variant>
        <vt:i4>3</vt:i4>
      </vt:variant>
      <vt:variant>
        <vt:i4>0</vt:i4>
      </vt:variant>
      <vt:variant>
        <vt:i4>5</vt:i4>
      </vt:variant>
      <vt:variant>
        <vt:lpwstr>http://www.swu.edu/about-swu/technology-services/computer-recommendations/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cp:lastModifiedBy>Jody Kelley</cp:lastModifiedBy>
  <cp:revision>3</cp:revision>
  <cp:lastPrinted>2010-06-03T13:30:00Z</cp:lastPrinted>
  <dcterms:created xsi:type="dcterms:W3CDTF">2019-09-20T15:14:00Z</dcterms:created>
  <dcterms:modified xsi:type="dcterms:W3CDTF">2019-09-20T15:50:00Z</dcterms:modified>
</cp:coreProperties>
</file>